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DB54DA" w:rsidTr="00EB450E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DB54DA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DB54DA">
              <w:rPr>
                <w:rFonts w:ascii="Tahoma" w:hAnsi="Tahoma" w:cs="Tahoma"/>
              </w:rPr>
              <w:br w:type="column"/>
            </w:r>
            <w:r w:rsidRPr="00DB54DA">
              <w:rPr>
                <w:rFonts w:ascii="Tahoma" w:hAnsi="Tahoma" w:cs="Tahoma"/>
              </w:rPr>
              <w:br w:type="column"/>
            </w:r>
            <w:r w:rsidRPr="00DB54DA">
              <w:rPr>
                <w:rFonts w:ascii="Tahoma" w:hAnsi="Tahoma" w:cs="Tahoma"/>
              </w:rPr>
              <w:br w:type="page"/>
            </w:r>
            <w:r w:rsidRPr="00DB54DA">
              <w:rPr>
                <w:rFonts w:ascii="Tahoma" w:hAnsi="Tahoma" w:cs="Tahoma"/>
              </w:rPr>
              <w:br w:type="page"/>
            </w:r>
            <w:r w:rsidR="00B97590" w:rsidRPr="00DB54DA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DB54DA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DB54DA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DB54DA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DB54DA" w:rsidRDefault="005D5311" w:rsidP="00DB54DA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</w:rPr>
            </w:pPr>
            <w:r w:rsidRPr="00DB54DA">
              <w:rPr>
                <w:rFonts w:ascii="Tahoma" w:hAnsi="Tahoma" w:cs="Tahoma"/>
                <w:sz w:val="16"/>
                <w:lang w:val="sr-Cyrl-BA"/>
              </w:rPr>
              <w:t>[</w:t>
            </w:r>
            <w:r w:rsidR="009B294C" w:rsidRPr="00DB54DA">
              <w:rPr>
                <w:rFonts w:ascii="Tahoma" w:hAnsi="Tahoma" w:cs="Tahoma"/>
                <w:sz w:val="16"/>
                <w:lang w:val="sr-Cyrl-BA"/>
              </w:rPr>
              <w:t>2</w:t>
            </w:r>
            <w:r w:rsidR="00AA6475" w:rsidRPr="00DB54DA">
              <w:rPr>
                <w:rFonts w:ascii="Tahoma" w:hAnsi="Tahoma" w:cs="Tahoma"/>
                <w:sz w:val="16"/>
              </w:rPr>
              <w:t>2</w:t>
            </w:r>
            <w:r w:rsidRPr="00DB54DA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="00DB54DA" w:rsidRPr="00DB54DA">
              <w:rPr>
                <w:rFonts w:ascii="Tahoma" w:hAnsi="Tahoma" w:cs="Tahoma"/>
                <w:sz w:val="16"/>
                <w:lang w:val="sr-Cyrl-CS"/>
              </w:rPr>
              <w:t>јун</w:t>
            </w:r>
            <w:r w:rsidR="00AA6475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1A34F5" w:rsidRPr="00DB54DA">
              <w:rPr>
                <w:rFonts w:ascii="Tahoma" w:hAnsi="Tahoma" w:cs="Tahoma"/>
                <w:sz w:val="16"/>
                <w:lang w:val="sr-Cyrl-BA"/>
              </w:rPr>
              <w:t>2012</w:t>
            </w:r>
            <w:r w:rsidRPr="00DB54DA">
              <w:rPr>
                <w:rFonts w:ascii="Tahoma" w:hAnsi="Tahoma" w:cs="Tahoma"/>
                <w:sz w:val="16"/>
                <w:lang w:val="sr-Cyrl-BA"/>
              </w:rPr>
              <w:t xml:space="preserve">.]  </w:t>
            </w:r>
            <w:r w:rsidR="00DB54DA" w:rsidRPr="00DB54DA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6</w:t>
            </w:r>
            <w:r w:rsidRPr="00DB54DA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910A31" w:rsidRPr="00DB54DA">
              <w:rPr>
                <w:rFonts w:ascii="Tahoma" w:hAnsi="Tahoma" w:cs="Tahoma"/>
                <w:b/>
                <w:sz w:val="32"/>
                <w:szCs w:val="32"/>
              </w:rPr>
              <w:t>2</w:t>
            </w:r>
          </w:p>
        </w:tc>
      </w:tr>
      <w:tr w:rsidR="005D5311" w:rsidRPr="00DB54DA" w:rsidTr="00EB450E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DB54DA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DB54DA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DB54DA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DB54DA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4DA" w:rsidRDefault="007E158B" w:rsidP="008B720B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4B569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jun</w:t>
            </w:r>
            <w:r w:rsidR="00DB54DA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B54D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4B569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DB54DA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4DA" w:rsidRDefault="004B5697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DB54D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DB54D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DB54DA" w:rsidRDefault="00B07584" w:rsidP="009215D1">
      <w:pPr>
        <w:spacing w:line="360" w:lineRule="auto"/>
        <w:jc w:val="both"/>
        <w:rPr>
          <w:lang w:val="sr-Cyrl-BA"/>
        </w:rPr>
      </w:pPr>
    </w:p>
    <w:p w:rsidR="00E16510" w:rsidRPr="00DB54DA" w:rsidRDefault="004B5697" w:rsidP="00E16510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E16510" w:rsidRPr="00DB54D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E16510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E16510" w:rsidRPr="00DB54D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E16510" w:rsidRPr="00DB54D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maju</w:t>
      </w:r>
      <w:r w:rsidR="00E16510" w:rsidRPr="00DB54DA">
        <w:rPr>
          <w:rFonts w:ascii="Tahoma" w:hAnsi="Tahoma" w:cs="Tahoma"/>
          <w:b/>
          <w:sz w:val="28"/>
          <w:szCs w:val="28"/>
          <w:lang w:val="sr-Cyrl-CS"/>
        </w:rPr>
        <w:t xml:space="preserve"> 826</w:t>
      </w:r>
      <w:r w:rsidR="00E16510" w:rsidRPr="00DB54D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E16510" w:rsidRPr="00DB54DA" w:rsidRDefault="004B5697" w:rsidP="00E16510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E16510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E16510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E16510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E16510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E16510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E16510" w:rsidRPr="00DB54D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E16510" w:rsidRPr="00DB54DA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E16510" w:rsidRPr="00DB54DA">
        <w:rPr>
          <w:rFonts w:ascii="Tahoma" w:hAnsi="Tahoma" w:cs="Tahoma"/>
          <w:sz w:val="24"/>
          <w:szCs w:val="24"/>
          <w:lang w:val="ru-RU"/>
        </w:rPr>
        <w:t xml:space="preserve"> 1 </w:t>
      </w:r>
      <w:r w:rsidR="00E16510" w:rsidRPr="00DB54DA">
        <w:rPr>
          <w:rFonts w:ascii="Tahoma" w:hAnsi="Tahoma" w:cs="Tahoma"/>
          <w:sz w:val="24"/>
          <w:szCs w:val="24"/>
          <w:lang w:val="sr-Cyrl-CS"/>
        </w:rPr>
        <w:t>344</w:t>
      </w:r>
      <w:r w:rsidR="00E16510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E16510" w:rsidRPr="00DB54DA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E16510" w:rsidRPr="00DB54D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E16510" w:rsidRPr="00DB54D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E16510" w:rsidRPr="00DB54DA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E16510" w:rsidRPr="00DB54DA">
        <w:rPr>
          <w:rFonts w:ascii="Tahoma" w:hAnsi="Tahoma" w:cs="Tahoma"/>
          <w:sz w:val="24"/>
          <w:szCs w:val="24"/>
          <w:lang w:val="sr-Cyrl-CS"/>
        </w:rPr>
        <w:t xml:space="preserve"> 562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E16510" w:rsidRPr="00DB54DA" w:rsidRDefault="00E16510" w:rsidP="00E16510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E16510" w:rsidRPr="00DB54DA" w:rsidRDefault="004B5697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E16510"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E16510" w:rsidRPr="00DB54D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E16510" w:rsidRPr="00DB54D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E16510"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>,</w:t>
      </w:r>
      <w:r w:rsidR="00E16510"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E16510" w:rsidRPr="00DB54DA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826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16510" w:rsidRPr="00DB54DA">
        <w:rPr>
          <w:rFonts w:ascii="Tahoma" w:hAnsi="Tahoma" w:cs="Tahoma"/>
          <w:sz w:val="18"/>
          <w:szCs w:val="18"/>
          <w:lang w:val="hr-HR"/>
        </w:rPr>
        <w:t>,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1 364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E16510" w:rsidRPr="00DB54DA" w:rsidRDefault="00E16510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16510" w:rsidRPr="00DB54DA" w:rsidRDefault="004B5697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1,1%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1,2%.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2,1%,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0,2%.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1,3%,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E16510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16510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E16510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BA"/>
        </w:rPr>
        <w:t xml:space="preserve"> 0,3%.</w:t>
      </w:r>
    </w:p>
    <w:p w:rsidR="00E16510" w:rsidRPr="00DB54DA" w:rsidRDefault="00E16510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16510" w:rsidRPr="00DB54DA" w:rsidRDefault="004B5697" w:rsidP="00E16510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1 344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562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>.</w:t>
      </w:r>
    </w:p>
    <w:p w:rsidR="00E16510" w:rsidRPr="00DB54DA" w:rsidRDefault="00E16510" w:rsidP="00E16510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16510" w:rsidRPr="00DB54DA" w:rsidRDefault="004B5697" w:rsidP="00E16510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E16510" w:rsidRPr="00DB54D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6,3%,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3,9%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2,5%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veliko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malo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1,3%,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1,2%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16510" w:rsidRPr="00DB54DA">
        <w:rPr>
          <w:rFonts w:ascii="Tahoma" w:hAnsi="Tahoma" w:cs="Tahoma"/>
          <w:sz w:val="18"/>
          <w:szCs w:val="18"/>
          <w:lang w:val="sr-Cyrl-CS"/>
        </w:rPr>
        <w:t xml:space="preserve"> 0,8%.</w:t>
      </w:r>
      <w:r w:rsidR="00E16510" w:rsidRPr="00DB54DA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E16510" w:rsidRPr="00DB54DA" w:rsidRDefault="00E16510" w:rsidP="00E16510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76086A" w:rsidRPr="00DB54DA" w:rsidRDefault="0076086A" w:rsidP="00E16510">
      <w:pPr>
        <w:jc w:val="center"/>
        <w:rPr>
          <w:rFonts w:ascii="Tahoma" w:hAnsi="Tahoma" w:cs="Tahoma"/>
          <w:sz w:val="18"/>
          <w:szCs w:val="18"/>
        </w:rPr>
      </w:pPr>
    </w:p>
    <w:p w:rsidR="00AF1FE7" w:rsidRPr="00DB54DA" w:rsidRDefault="00CE49EF" w:rsidP="00E16510">
      <w:pPr>
        <w:jc w:val="center"/>
        <w:rPr>
          <w:rFonts w:ascii="Tahoma" w:hAnsi="Tahoma" w:cs="Tahoma"/>
          <w:sz w:val="18"/>
          <w:szCs w:val="18"/>
        </w:rPr>
      </w:pPr>
      <w:r w:rsidRPr="00CE49EF"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29.5pt;margin-top:212.35pt;width:195.4pt;height:23.95pt;z-index:251669504;mso-width-relative:margin;mso-height-relative:margin" strokecolor="white [3212]">
            <v:textbox>
              <w:txbxContent>
                <w:p w:rsidR="00EB450E" w:rsidRPr="00297CBC" w:rsidRDefault="00EB450E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       2012.</w:t>
                  </w:r>
                </w:p>
              </w:txbxContent>
            </v:textbox>
          </v:shape>
        </w:pict>
      </w:r>
      <w:r w:rsidRPr="00CE49EF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05.75pt;margin-top:11.25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EB450E" w:rsidRPr="00B32263" w:rsidRDefault="00EB450E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="00E16510" w:rsidRPr="00DB54DA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451448" cy="315666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CE49EF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EB450E" w:rsidRPr="00860DF8" w:rsidRDefault="00EB450E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D0CCB" w:rsidRPr="00DB54DA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DB54DA" w:rsidRDefault="004B5697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Grafikon</w:t>
      </w:r>
      <w:r w:rsidR="000328B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E24D5" w:rsidRPr="00DB54DA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>.</w:t>
      </w:r>
      <w:r w:rsidR="005E0301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ru-RU"/>
        </w:rPr>
        <w:t>rosječn</w:t>
      </w:r>
      <w:r w:rsidR="005E0301" w:rsidRPr="00DB54DA">
        <w:rPr>
          <w:rFonts w:ascii="Tahoma" w:hAnsi="Tahoma" w:cs="Tahoma"/>
          <w:sz w:val="18"/>
          <w:szCs w:val="18"/>
        </w:rPr>
        <w:t>e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neto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plat</w:t>
      </w:r>
      <w:r w:rsidR="005E0301" w:rsidRPr="00DB54DA">
        <w:rPr>
          <w:rFonts w:ascii="Tahoma" w:hAnsi="Tahoma" w:cs="Tahoma"/>
          <w:sz w:val="18"/>
          <w:szCs w:val="18"/>
        </w:rPr>
        <w:t>e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5E0301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mjesecima</w:t>
      </w:r>
    </w:p>
    <w:p w:rsidR="0029071F" w:rsidRPr="00DB54DA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DB54DA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DB54DA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B32263" w:rsidRPr="00DB54DA" w:rsidRDefault="00B32263">
      <w:pPr>
        <w:rPr>
          <w:rFonts w:ascii="Tahoma" w:hAnsi="Tahoma" w:cs="Tahoma"/>
          <w:b/>
          <w:sz w:val="28"/>
          <w:szCs w:val="28"/>
          <w:lang w:val="sr-Cyrl-BA"/>
        </w:rPr>
      </w:pPr>
      <w:r w:rsidRPr="00DB54DA">
        <w:rPr>
          <w:rFonts w:ascii="Tahoma" w:hAnsi="Tahoma" w:cs="Tahoma"/>
          <w:b/>
          <w:sz w:val="28"/>
          <w:szCs w:val="28"/>
          <w:lang w:val="sr-Cyrl-BA"/>
        </w:rPr>
        <w:br w:type="page"/>
      </w:r>
    </w:p>
    <w:p w:rsidR="00270368" w:rsidRPr="00DB54DA" w:rsidRDefault="004B5697" w:rsidP="00270368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BA"/>
        </w:rPr>
        <w:lastRenderedPageBreak/>
        <w:t>Mjesečna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maju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2012.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-0,1%</w:t>
      </w:r>
    </w:p>
    <w:p w:rsidR="00270368" w:rsidRPr="00DB54DA" w:rsidRDefault="004B5697" w:rsidP="00270368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Godišnja</w:t>
      </w:r>
      <w:r w:rsidR="009B43E9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9B43E9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maj</w:t>
      </w:r>
      <w:r w:rsidR="009B43E9">
        <w:rPr>
          <w:rFonts w:ascii="Tahoma" w:hAnsi="Tahoma" w:cs="Tahoma"/>
          <w:b/>
          <w:sz w:val="28"/>
          <w:szCs w:val="28"/>
          <w:lang w:val="sr-Cyrl-BA"/>
        </w:rPr>
        <w:t xml:space="preserve"> 2012/</w:t>
      </w:r>
      <w:r>
        <w:rPr>
          <w:rFonts w:ascii="Tahoma" w:hAnsi="Tahoma" w:cs="Tahoma"/>
          <w:b/>
          <w:sz w:val="28"/>
          <w:szCs w:val="28"/>
          <w:lang w:val="sr-Cyrl-BA"/>
        </w:rPr>
        <w:t>maj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2011) 1,6%</w:t>
      </w:r>
    </w:p>
    <w:p w:rsidR="00270368" w:rsidRPr="00DB54DA" w:rsidRDefault="00270368" w:rsidP="00270368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mjerene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indeksom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potrošačkih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april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0,1%.</w:t>
      </w:r>
    </w:p>
    <w:p w:rsidR="00270368" w:rsidRPr="00DB54DA" w:rsidRDefault="004B5697" w:rsidP="0027036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Ovakvo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kretanje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rezultiralo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pojeftinjenjem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uzrokovalo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 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>1,0%.</w:t>
      </w:r>
    </w:p>
    <w:p w:rsidR="00270368" w:rsidRPr="00DB54DA" w:rsidRDefault="00270368" w:rsidP="00270368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jedino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i/>
          <w:sz w:val="18"/>
          <w:szCs w:val="18"/>
        </w:rPr>
      </w:pPr>
    </w:p>
    <w:p w:rsidR="00270368" w:rsidRPr="00DB54DA" w:rsidRDefault="004B5697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Zdravstvo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koji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došlo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farmaceutskih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0,3%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ostalih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medicinskih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zavoji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šprice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toplomjeri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>) 0,7%.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270368" w:rsidRPr="00DB54DA" w:rsidRDefault="004B5697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0,1%,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podgrupama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4,0%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Riba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1,7%,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0,3% 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Ulja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masnoće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0,2%.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ovaj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mjesec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došlo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citrusnog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narandža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limun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grejpfurt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mandarina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limun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kivi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),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jabuka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krušaka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Riba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veće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svježe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smrznute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2,1%,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konzervisane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0,4%.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teletine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ovaj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mjesec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1,2%,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junetine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jagnjetine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1,8%,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svinjetine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0,8%.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masnoće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uticale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veće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maslinovog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1,9%, </w:t>
      </w:r>
      <w:r>
        <w:rPr>
          <w:rFonts w:ascii="Tahoma" w:eastAsia="Calibri" w:hAnsi="Tahoma" w:cs="Tahoma"/>
          <w:sz w:val="18"/>
          <w:szCs w:val="18"/>
          <w:lang w:val="sr-Cyrl-BA"/>
        </w:rPr>
        <w:t>maslaca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1,0%,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0,1%.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mineralne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vode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gaziranih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bezalkoholnih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pića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0,1%.</w:t>
      </w: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270368" w:rsidRPr="00DB54DA" w:rsidRDefault="004B5697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odjeljcima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Stanovanje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Komunikacije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Rekreacija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Obrazovanje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Restorani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hoteli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nisu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mijenjale</w:t>
      </w:r>
      <w:r w:rsidR="00270368" w:rsidRPr="00DB54DA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0,1%,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smanjenja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piva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0,8%. 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Pad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0,1%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nižih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čišćenje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održavanje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kuće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0,6%.</w:t>
      </w:r>
    </w:p>
    <w:p w:rsidR="00270368" w:rsidRPr="00DB54DA" w:rsidRDefault="00270368" w:rsidP="00270368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270368" w:rsidRPr="00DB54DA" w:rsidRDefault="004B5697" w:rsidP="00270368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>,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>,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1,6%.</w:t>
      </w:r>
    </w:p>
    <w:p w:rsidR="00270368" w:rsidRPr="00DB54DA" w:rsidRDefault="004B5697" w:rsidP="00270368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8,4%,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>: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5,1%,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4,2%,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2,1%,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1,8%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>,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0,5%,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0,2%,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0,2%,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0,1%.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prosjeku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ostao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isti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>.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0,3%,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3,7%.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270368" w:rsidRPr="00DB54DA">
        <w:rPr>
          <w:rFonts w:ascii="Tahoma" w:hAnsi="Tahoma" w:cs="Tahoma"/>
          <w:b/>
          <w:sz w:val="28"/>
          <w:szCs w:val="28"/>
        </w:rPr>
        <w:t>V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270368" w:rsidRPr="00DB54DA">
        <w:rPr>
          <w:rFonts w:ascii="Tahoma" w:hAnsi="Tahoma" w:cs="Tahoma"/>
          <w:b/>
          <w:sz w:val="28"/>
          <w:szCs w:val="28"/>
          <w:lang w:val="sr-Latn-CS"/>
        </w:rPr>
        <w:t>2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>/</w:t>
      </w:r>
      <w:r w:rsidR="00270368" w:rsidRPr="00DB54DA">
        <w:rPr>
          <w:rFonts w:ascii="Tahoma" w:hAnsi="Tahoma" w:cs="Tahoma"/>
          <w:b/>
          <w:sz w:val="28"/>
          <w:szCs w:val="28"/>
          <w:lang w:val="sr-Latn-CS"/>
        </w:rPr>
        <w:t>IV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270368" w:rsidRPr="00DB54DA">
        <w:rPr>
          <w:rFonts w:ascii="Tahoma" w:hAnsi="Tahoma" w:cs="Tahoma"/>
          <w:b/>
          <w:sz w:val="28"/>
          <w:szCs w:val="28"/>
          <w:lang w:val="sr-Latn-CS"/>
        </w:rPr>
        <w:t>2.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>)</w:t>
      </w:r>
      <w:r w:rsidR="00270368" w:rsidRPr="00DB54DA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270368" w:rsidRPr="00DB54DA">
        <w:rPr>
          <w:rFonts w:ascii="Tahoma" w:hAnsi="Tahoma" w:cs="Tahoma"/>
          <w:b/>
          <w:sz w:val="28"/>
          <w:szCs w:val="28"/>
          <w:lang w:val="sr-Latn-CS"/>
        </w:rPr>
        <w:t>1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270368" w:rsidRPr="00DB54DA" w:rsidRDefault="00270368" w:rsidP="00270368">
      <w:pPr>
        <w:jc w:val="both"/>
        <w:rPr>
          <w:rFonts w:ascii="Tahoma" w:hAnsi="Tahoma" w:cs="Tahoma"/>
          <w:lang w:val="sr-Cyrl-CS"/>
        </w:rPr>
      </w:pPr>
    </w:p>
    <w:p w:rsidR="00270368" w:rsidRPr="00DB54DA" w:rsidRDefault="004B5697" w:rsidP="00270368">
      <w:pPr>
        <w:ind w:right="68"/>
        <w:jc w:val="both"/>
        <w:rPr>
          <w:rFonts w:ascii="Tahoma" w:hAnsi="Tahoma" w:cs="Tahoma"/>
          <w:sz w:val="16"/>
          <w:szCs w:val="16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270368" w:rsidRPr="00DB54DA">
        <w:rPr>
          <w:rFonts w:ascii="Tahoma" w:hAnsi="Tahoma" w:cs="Tahoma"/>
          <w:sz w:val="18"/>
          <w:szCs w:val="18"/>
        </w:rPr>
        <w:t>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270368" w:rsidRPr="00DB54DA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12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201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2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.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>1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%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>0,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3%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270368" w:rsidRPr="00DB54DA">
        <w:rPr>
          <w:rFonts w:ascii="Tahoma" w:hAnsi="Tahoma" w:cs="Tahoma"/>
          <w:sz w:val="16"/>
          <w:szCs w:val="16"/>
          <w:lang w:val="sr-Cyrl-CS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70368" w:rsidRPr="00DB54DA" w:rsidRDefault="004B5697" w:rsidP="00270368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12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201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3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>%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1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>%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0,2%;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,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12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1,5%,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0,6%,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0,3%,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1,3%. 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70368" w:rsidRPr="00DB54DA" w:rsidRDefault="004B5697" w:rsidP="00270368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(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PRODCOM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)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,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270368" w:rsidRPr="00DB54D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12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april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201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2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.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0,4%,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)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270368" w:rsidRPr="00DB54DA">
        <w:rPr>
          <w:rFonts w:ascii="Tahoma" w:hAnsi="Tahoma" w:cs="Tahoma"/>
          <w:sz w:val="18"/>
          <w:szCs w:val="18"/>
        </w:rPr>
        <w:t>,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270368" w:rsidRPr="00DB54DA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0,6%,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32263" w:rsidRPr="00DB54DA" w:rsidRDefault="004B5697" w:rsidP="00E1651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12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20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11</w:t>
      </w:r>
      <w:r w:rsidR="00270368" w:rsidRPr="00DB54DA">
        <w:rPr>
          <w:rFonts w:ascii="Tahoma" w:hAnsi="Tahoma" w:cs="Tahoma"/>
          <w:sz w:val="18"/>
          <w:szCs w:val="18"/>
          <w:lang w:val="hr-HR"/>
        </w:rPr>
        <w:t>.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,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270368" w:rsidRPr="00DB54DA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270368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270368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2,1%,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270368" w:rsidRPr="00DB54DA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0,5%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270368" w:rsidRPr="00DB54DA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270368" w:rsidRPr="00DB54D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prosjeku</w:t>
      </w:r>
      <w:r w:rsidR="00270368" w:rsidRPr="00DB54D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niže</w:t>
      </w:r>
      <w:r w:rsidR="00270368" w:rsidRPr="00DB54DA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270368" w:rsidRPr="00DB54DA">
        <w:rPr>
          <w:rFonts w:ascii="Tahoma" w:hAnsi="Tahoma" w:cs="Tahoma"/>
          <w:bCs/>
          <w:sz w:val="18"/>
          <w:szCs w:val="18"/>
          <w:lang w:val="sr-Cyrl-CS"/>
        </w:rPr>
        <w:t xml:space="preserve"> 0,1%. </w:t>
      </w:r>
    </w:p>
    <w:p w:rsidR="00DA1109" w:rsidRPr="00DB54DA" w:rsidRDefault="004B5697" w:rsidP="00DA1109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lastRenderedPageBreak/>
        <w:t>Indeks</w:t>
      </w:r>
      <w:r w:rsidR="00DA1109" w:rsidRPr="00DB54DA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DA1109" w:rsidRPr="00DB54DA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DA1109" w:rsidRPr="00DB54DA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DA1109" w:rsidRPr="00DB54DA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DA1109" w:rsidRPr="00DB54DA">
        <w:rPr>
          <w:rFonts w:ascii="Tahoma" w:hAnsi="Tahoma" w:cs="Tahoma"/>
          <w:b/>
          <w:spacing w:val="-4"/>
          <w:sz w:val="28"/>
          <w:szCs w:val="28"/>
        </w:rPr>
        <w:t>V</w:t>
      </w:r>
      <w:r w:rsidR="00DA1109" w:rsidRPr="00DB54DA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manji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5</w:t>
      </w:r>
      <w:r w:rsidR="00DA1109" w:rsidRPr="00DB54DA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,6</w:t>
      </w:r>
      <w:r w:rsidR="00DA1109" w:rsidRPr="00DB54DA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DA1109" w:rsidRPr="00DB54DA" w:rsidRDefault="004B5697" w:rsidP="00DA1109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DA1109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DA1109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DA1109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DA1109" w:rsidRPr="00DB54DA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DA1109" w:rsidRPr="00DB54DA">
        <w:rPr>
          <w:rFonts w:ascii="Tahoma" w:hAnsi="Tahoma" w:cs="Tahoma"/>
          <w:sz w:val="24"/>
          <w:szCs w:val="24"/>
          <w:lang w:val="sr-Cyrl-CS"/>
        </w:rPr>
        <w:t>V</w:t>
      </w:r>
      <w:r w:rsidR="00DA1109" w:rsidRPr="00DB54DA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DA1109" w:rsidRPr="00DB54DA">
        <w:rPr>
          <w:rFonts w:ascii="Tahoma" w:hAnsi="Tahoma" w:cs="Tahoma"/>
          <w:sz w:val="24"/>
          <w:szCs w:val="24"/>
          <w:lang w:val="sr-Cyrl-CS"/>
        </w:rPr>
        <w:t>12</w:t>
      </w:r>
      <w:r w:rsidR="00DA1109" w:rsidRPr="00DB54DA">
        <w:rPr>
          <w:rFonts w:ascii="Tahoma" w:hAnsi="Tahoma" w:cs="Tahoma"/>
          <w:sz w:val="24"/>
          <w:szCs w:val="24"/>
          <w:lang w:val="sr-Latn-BA"/>
        </w:rPr>
        <w:t>/</w:t>
      </w:r>
      <w:r w:rsidR="00DA1109" w:rsidRPr="00DB54DA">
        <w:rPr>
          <w:rFonts w:ascii="Tahoma" w:hAnsi="Tahoma" w:cs="Tahoma"/>
          <w:bCs/>
          <w:sz w:val="24"/>
          <w:szCs w:val="24"/>
        </w:rPr>
        <w:sym w:font="Symbol" w:char="F0C6"/>
      </w:r>
      <w:r w:rsidR="00DA1109" w:rsidRPr="00DB54DA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DA1109" w:rsidRPr="00DB54DA">
        <w:rPr>
          <w:rFonts w:ascii="Tahoma" w:hAnsi="Tahoma" w:cs="Tahoma"/>
          <w:bCs/>
          <w:sz w:val="24"/>
          <w:szCs w:val="24"/>
          <w:lang w:val="ru-RU"/>
        </w:rPr>
        <w:t>2011.</w:t>
      </w:r>
      <w:r w:rsidR="00DA1109" w:rsidRPr="00DB54DA">
        <w:rPr>
          <w:rFonts w:ascii="Tahoma" w:hAnsi="Tahoma" w:cs="Tahoma"/>
          <w:bCs/>
          <w:sz w:val="24"/>
          <w:szCs w:val="24"/>
          <w:lang w:val="hr-HR"/>
        </w:rPr>
        <w:t>)</w:t>
      </w:r>
      <w:r w:rsidR="00DA1109" w:rsidRPr="00DB54DA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DA1109" w:rsidRPr="00DB54DA">
        <w:rPr>
          <w:rFonts w:ascii="Tahoma" w:hAnsi="Tahoma" w:cs="Tahoma"/>
          <w:sz w:val="24"/>
          <w:szCs w:val="24"/>
          <w:lang w:val="ru-RU"/>
        </w:rPr>
        <w:t xml:space="preserve"> </w:t>
      </w:r>
      <w:r w:rsidR="00DA1109" w:rsidRPr="00DB54DA">
        <w:rPr>
          <w:rFonts w:ascii="Tahoma" w:hAnsi="Tahoma" w:cs="Tahoma"/>
          <w:sz w:val="24"/>
          <w:szCs w:val="24"/>
          <w:lang w:val="sr-Cyrl-CS"/>
        </w:rPr>
        <w:t>0</w:t>
      </w:r>
      <w:r w:rsidR="00DA1109" w:rsidRPr="00DB54DA">
        <w:rPr>
          <w:rFonts w:ascii="Tahoma" w:hAnsi="Tahoma" w:cs="Tahoma"/>
          <w:sz w:val="24"/>
          <w:szCs w:val="24"/>
          <w:lang w:val="sr-Cyrl-BA"/>
        </w:rPr>
        <w:t>,8</w:t>
      </w:r>
      <w:r w:rsidR="00DA1109" w:rsidRPr="00DB54DA">
        <w:rPr>
          <w:rFonts w:ascii="Tahoma" w:hAnsi="Tahoma" w:cs="Tahoma"/>
          <w:sz w:val="24"/>
          <w:szCs w:val="24"/>
          <w:lang w:val="ru-RU"/>
        </w:rPr>
        <w:t>%</w:t>
      </w:r>
    </w:p>
    <w:p w:rsidR="00DA1109" w:rsidRPr="00DB54DA" w:rsidRDefault="00DA1109" w:rsidP="00DA1109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DA1109" w:rsidRPr="00DB54DA" w:rsidRDefault="004B5697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DA1109"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4,6%,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5,6%,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2,8%.</w:t>
      </w:r>
    </w:p>
    <w:p w:rsidR="00DA1109" w:rsidRPr="00DB54DA" w:rsidRDefault="00DA1109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4B5697" w:rsidP="00DA110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- </w:t>
      </w:r>
      <w:r>
        <w:rPr>
          <w:rFonts w:ascii="Tahoma" w:hAnsi="Tahoma" w:cs="Tahoma"/>
          <w:sz w:val="18"/>
          <w:szCs w:val="18"/>
          <w:lang w:val="sr-Cyrl-BA"/>
        </w:rPr>
        <w:t>maj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3,9%.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0,4%,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DA1109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DA1109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A1109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3,7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6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,7%. </w:t>
      </w:r>
    </w:p>
    <w:p w:rsidR="00DA1109" w:rsidRPr="00DB54DA" w:rsidRDefault="00DA1109" w:rsidP="00DA1109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4B5697" w:rsidP="00DA1109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– </w:t>
      </w:r>
      <w:r>
        <w:rPr>
          <w:rFonts w:ascii="Tahoma" w:hAnsi="Tahoma" w:cs="Tahoma"/>
          <w:sz w:val="18"/>
          <w:szCs w:val="18"/>
          <w:lang w:val="ru-RU"/>
        </w:rPr>
        <w:t>maj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0,8%,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1,8%,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8,0%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8,2%,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pozitivna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3,1</w:t>
      </w:r>
      <w:r w:rsidR="00DA1109" w:rsidRPr="00DB54DA">
        <w:rPr>
          <w:rFonts w:ascii="Tahoma" w:hAnsi="Tahoma" w:cs="Tahoma"/>
          <w:sz w:val="18"/>
          <w:szCs w:val="18"/>
          <w:lang w:val="sr-Cyrl-BA"/>
        </w:rPr>
        <w:t>%.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DA1109" w:rsidRPr="00DB54DA" w:rsidRDefault="00DA1109" w:rsidP="00DA1109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4B5697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DA1109"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DA1109"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april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0,5%.</w:t>
      </w:r>
    </w:p>
    <w:p w:rsidR="00DA1109" w:rsidRPr="00DB54DA" w:rsidRDefault="00DA1109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DA1109" w:rsidRPr="00DB54DA" w:rsidRDefault="004B5697" w:rsidP="00DA1109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maj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2,0%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0,5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DA1109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DA1109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A1109" w:rsidRPr="00DB54DA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DA1109" w:rsidRPr="00DB54DA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,9%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DA1109" w:rsidRPr="00DB54DA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DA1109" w:rsidRPr="00DB54DA">
        <w:rPr>
          <w:rFonts w:ascii="Tahoma" w:hAnsi="Tahoma" w:cs="Tahoma"/>
          <w:sz w:val="18"/>
          <w:szCs w:val="18"/>
          <w:lang w:val="ru-RU"/>
        </w:rPr>
        <w:t xml:space="preserve"> 2,3%. </w:t>
      </w:r>
    </w:p>
    <w:p w:rsidR="00B32263" w:rsidRPr="00DB54DA" w:rsidRDefault="00B32263" w:rsidP="00B32263">
      <w:pPr>
        <w:rPr>
          <w:rFonts w:ascii="Tahoma" w:hAnsi="Tahoma" w:cs="Tahoma"/>
          <w:sz w:val="18"/>
          <w:szCs w:val="18"/>
        </w:rPr>
      </w:pPr>
    </w:p>
    <w:p w:rsidR="00B32263" w:rsidRPr="00DB54DA" w:rsidRDefault="00B32263" w:rsidP="00B32263">
      <w:pPr>
        <w:rPr>
          <w:rFonts w:ascii="Tahoma" w:hAnsi="Tahoma" w:cs="Tahoma"/>
          <w:sz w:val="18"/>
          <w:szCs w:val="18"/>
        </w:rPr>
      </w:pPr>
    </w:p>
    <w:p w:rsidR="00DB54DA" w:rsidRPr="00DB54DA" w:rsidRDefault="00DB54DA" w:rsidP="00EB450E">
      <w:pPr>
        <w:rPr>
          <w:rFonts w:ascii="Tahoma" w:hAnsi="Tahoma" w:cs="Tahoma"/>
          <w:b/>
          <w:sz w:val="28"/>
          <w:szCs w:val="28"/>
          <w:lang w:val="bs-Cyrl-BA"/>
        </w:rPr>
      </w:pPr>
    </w:p>
    <w:p w:rsidR="00270368" w:rsidRPr="00DB54DA" w:rsidRDefault="004B5697" w:rsidP="00EB450E">
      <w:pPr>
        <w:rPr>
          <w:rFonts w:ascii="Tahoma" w:hAnsi="Tahoma" w:cs="Tahoma"/>
          <w:b/>
          <w:sz w:val="28"/>
          <w:szCs w:val="28"/>
          <w:lang w:val="bs-Cyrl-BA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270368" w:rsidRPr="00DB54D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270368" w:rsidRPr="00DB54DA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periodu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270368" w:rsidRPr="00DB54DA">
        <w:rPr>
          <w:rFonts w:ascii="Tahoma" w:hAnsi="Tahoma" w:cs="Tahoma"/>
          <w:b/>
          <w:sz w:val="28"/>
          <w:szCs w:val="28"/>
        </w:rPr>
        <w:t>I</w:t>
      </w:r>
      <w:r w:rsidR="00270368" w:rsidRPr="00DB54DA">
        <w:rPr>
          <w:rFonts w:ascii="Tahoma" w:hAnsi="Tahoma" w:cs="Tahoma"/>
          <w:b/>
          <w:sz w:val="28"/>
          <w:szCs w:val="28"/>
          <w:lang w:val="ru-RU"/>
        </w:rPr>
        <w:t>–</w:t>
      </w:r>
      <w:r w:rsidR="00270368" w:rsidRPr="00DB54DA">
        <w:rPr>
          <w:rFonts w:ascii="Tahoma" w:hAnsi="Tahoma" w:cs="Tahoma"/>
          <w:b/>
          <w:sz w:val="28"/>
          <w:szCs w:val="28"/>
        </w:rPr>
        <w:t xml:space="preserve">V </w:t>
      </w:r>
      <w:r w:rsidR="00270368" w:rsidRPr="00DB54DA">
        <w:rPr>
          <w:rFonts w:ascii="Tahoma" w:hAnsi="Tahoma" w:cs="Tahoma"/>
          <w:b/>
          <w:sz w:val="28"/>
          <w:szCs w:val="28"/>
          <w:lang w:val="ru-RU"/>
        </w:rPr>
        <w:t>201</w:t>
      </w:r>
      <w:r w:rsidR="00270368" w:rsidRPr="00DB54DA">
        <w:rPr>
          <w:rFonts w:ascii="Tahoma" w:hAnsi="Tahoma" w:cs="Tahoma"/>
          <w:b/>
          <w:sz w:val="28"/>
          <w:szCs w:val="28"/>
        </w:rPr>
        <w:t>2</w:t>
      </w:r>
      <w:r w:rsidR="00270368" w:rsidRPr="00DB54DA">
        <w:rPr>
          <w:rFonts w:ascii="Tahoma" w:hAnsi="Tahoma" w:cs="Tahoma"/>
          <w:b/>
          <w:sz w:val="28"/>
          <w:szCs w:val="28"/>
          <w:lang w:val="ru-RU"/>
        </w:rPr>
        <w:t>.</w:t>
      </w:r>
      <w:r w:rsidR="00270368" w:rsidRPr="00DB54DA">
        <w:rPr>
          <w:rFonts w:ascii="Tahoma" w:hAnsi="Tahoma" w:cs="Tahoma"/>
          <w:b/>
          <w:sz w:val="28"/>
          <w:szCs w:val="28"/>
          <w:lang w:val="sr-Cyrl-BA"/>
        </w:rPr>
        <w:t>)</w:t>
      </w:r>
      <w:r w:rsidR="00270368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270368" w:rsidRPr="00DB54DA">
        <w:rPr>
          <w:rFonts w:ascii="Tahoma" w:hAnsi="Tahoma" w:cs="Tahoma"/>
          <w:b/>
          <w:sz w:val="28"/>
          <w:szCs w:val="28"/>
          <w:lang w:val="hr-HR"/>
        </w:rPr>
        <w:t>54</w:t>
      </w:r>
      <w:r w:rsidR="00270368" w:rsidRPr="00DB54DA">
        <w:rPr>
          <w:rFonts w:ascii="Tahoma" w:hAnsi="Tahoma" w:cs="Tahoma"/>
          <w:b/>
          <w:sz w:val="28"/>
          <w:szCs w:val="28"/>
          <w:lang w:val="ru-RU"/>
        </w:rPr>
        <w:t>,</w:t>
      </w:r>
      <w:r w:rsidR="00270368" w:rsidRPr="00DB54DA">
        <w:rPr>
          <w:rFonts w:ascii="Tahoma" w:hAnsi="Tahoma" w:cs="Tahoma"/>
          <w:b/>
          <w:sz w:val="28"/>
          <w:szCs w:val="28"/>
        </w:rPr>
        <w:t>8</w:t>
      </w:r>
      <w:r w:rsidR="00270368" w:rsidRPr="00DB54DA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270368" w:rsidRPr="00DB54DA" w:rsidRDefault="004B5697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270368" w:rsidRPr="00DB54DA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270368" w:rsidRPr="00DB54DA">
        <w:rPr>
          <w:rFonts w:ascii="Tahoma" w:hAnsi="Tahoma" w:cs="Tahoma"/>
          <w:sz w:val="24"/>
          <w:szCs w:val="24"/>
          <w:lang w:val="hr-HR"/>
        </w:rPr>
        <w:t>(I-V 2012/I-V 2011</w:t>
      </w:r>
      <w:r w:rsidR="00270368" w:rsidRPr="00DB54DA">
        <w:rPr>
          <w:rFonts w:ascii="Tahoma" w:hAnsi="Tahoma" w:cs="Tahoma"/>
          <w:sz w:val="24"/>
          <w:szCs w:val="24"/>
          <w:lang w:val="sr-Cyrl-CS"/>
        </w:rPr>
        <w:t>.</w:t>
      </w:r>
      <w:r w:rsidR="00270368" w:rsidRPr="00DB54DA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smanjen</w:t>
      </w:r>
      <w:r w:rsidR="00270368" w:rsidRPr="00DB54DA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270368" w:rsidRPr="00DB54DA">
        <w:rPr>
          <w:rFonts w:ascii="Tahoma" w:hAnsi="Tahoma" w:cs="Tahoma"/>
          <w:sz w:val="24"/>
          <w:szCs w:val="24"/>
        </w:rPr>
        <w:t>3</w:t>
      </w:r>
      <w:r w:rsidR="00270368" w:rsidRPr="00DB54DA">
        <w:rPr>
          <w:rFonts w:ascii="Tahoma" w:hAnsi="Tahoma" w:cs="Tahoma"/>
          <w:sz w:val="24"/>
          <w:szCs w:val="24"/>
          <w:lang w:val="ru-RU"/>
        </w:rPr>
        <w:t>,</w:t>
      </w:r>
      <w:r w:rsidR="00270368" w:rsidRPr="00DB54DA">
        <w:rPr>
          <w:rFonts w:ascii="Tahoma" w:hAnsi="Tahoma" w:cs="Tahoma"/>
          <w:sz w:val="24"/>
          <w:szCs w:val="24"/>
        </w:rPr>
        <w:t>5</w:t>
      </w:r>
      <w:r w:rsidR="00270368" w:rsidRPr="00DB54DA">
        <w:rPr>
          <w:rFonts w:ascii="Tahoma" w:hAnsi="Tahoma" w:cs="Tahoma"/>
          <w:sz w:val="24"/>
          <w:szCs w:val="24"/>
          <w:lang w:val="ru-RU"/>
        </w:rPr>
        <w:t>%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270368" w:rsidRPr="00DB54DA" w:rsidRDefault="004B5697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227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383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>.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270368" w:rsidRPr="00DB54DA" w:rsidRDefault="004B5697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270368" w:rsidRPr="00DB54DA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59,4%. 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maj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vrijednosti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966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3,5%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Uvoz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istom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763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6,1%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270368" w:rsidRPr="00DB54DA" w:rsidRDefault="004B5697" w:rsidP="00270368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pet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54,8%,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797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>.</w:t>
      </w:r>
    </w:p>
    <w:p w:rsidR="00270368" w:rsidRPr="00DB54DA" w:rsidRDefault="00270368" w:rsidP="00270368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270368" w:rsidRPr="00DB54DA" w:rsidRDefault="004B5697" w:rsidP="00270368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270368" w:rsidRPr="00DB54DA">
        <w:rPr>
          <w:rFonts w:ascii="Tahoma" w:hAnsi="Tahoma" w:cs="Tahoma"/>
          <w:szCs w:val="18"/>
        </w:rPr>
        <w:t>e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270368" w:rsidRPr="00DB54DA">
        <w:rPr>
          <w:rFonts w:ascii="Tahoma" w:hAnsi="Tahoma" w:cs="Tahoma"/>
          <w:szCs w:val="18"/>
        </w:rPr>
        <w:t>e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270368" w:rsidRPr="00DB54DA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270368" w:rsidRPr="00DB54DA">
        <w:rPr>
          <w:rFonts w:ascii="Tahoma" w:hAnsi="Tahoma" w:cs="Tahoma"/>
          <w:szCs w:val="18"/>
          <w:lang w:val="ru-RU"/>
        </w:rPr>
        <w:t xml:space="preserve"> - </w:t>
      </w:r>
      <w:r>
        <w:rPr>
          <w:rFonts w:ascii="Tahoma" w:hAnsi="Tahoma" w:cs="Tahoma"/>
          <w:szCs w:val="18"/>
          <w:lang w:val="ru-RU"/>
        </w:rPr>
        <w:t>maj</w:t>
      </w:r>
      <w:r w:rsidR="00270368" w:rsidRPr="00DB54DA">
        <w:rPr>
          <w:rFonts w:ascii="Tahoma" w:hAnsi="Tahoma" w:cs="Tahoma"/>
          <w:szCs w:val="18"/>
          <w:lang w:val="ru-RU"/>
        </w:rPr>
        <w:t xml:space="preserve"> </w:t>
      </w:r>
      <w:r w:rsidR="00270368" w:rsidRPr="00DB54DA">
        <w:rPr>
          <w:rFonts w:ascii="Tahoma" w:hAnsi="Tahoma" w:cs="Tahoma"/>
          <w:szCs w:val="18"/>
          <w:lang w:val="sr-Cyrl-CS"/>
        </w:rPr>
        <w:t xml:space="preserve">2012. </w:t>
      </w:r>
      <w:r>
        <w:rPr>
          <w:rFonts w:ascii="Tahoma" w:hAnsi="Tahoma" w:cs="Tahoma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155 </w:t>
      </w:r>
      <w:r>
        <w:rPr>
          <w:rFonts w:ascii="Tahoma" w:hAnsi="Tahoma" w:cs="Tahoma"/>
          <w:szCs w:val="18"/>
          <w:lang w:val="sr-Cyrl-CS"/>
        </w:rPr>
        <w:t>miliona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270368" w:rsidRPr="00DB54D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16,0%</w:t>
      </w:r>
      <w:r w:rsidR="00270368" w:rsidRPr="00DB54DA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270368" w:rsidRPr="00DB54D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153 </w:t>
      </w:r>
      <w:r>
        <w:rPr>
          <w:rFonts w:ascii="Tahoma" w:hAnsi="Tahoma" w:cs="Tahoma"/>
          <w:szCs w:val="18"/>
          <w:lang w:val="sr-Cyrl-CS"/>
        </w:rPr>
        <w:t>miliona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270368" w:rsidRPr="00DB54DA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15,9% </w:t>
      </w:r>
      <w:r>
        <w:rPr>
          <w:rFonts w:ascii="Tahoma" w:hAnsi="Tahoma" w:cs="Tahoma"/>
          <w:szCs w:val="18"/>
          <w:lang w:val="sr-Cyrl-CS"/>
        </w:rPr>
        <w:t>od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270368" w:rsidRPr="00DB54DA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270368" w:rsidRPr="00DB54DA">
        <w:rPr>
          <w:rFonts w:ascii="Tahoma" w:hAnsi="Tahoma" w:cs="Tahoma"/>
          <w:szCs w:val="18"/>
          <w:lang w:val="sr-Cyrl-CS"/>
        </w:rPr>
        <w:t>.</w:t>
      </w:r>
    </w:p>
    <w:p w:rsidR="00270368" w:rsidRPr="00DB54DA" w:rsidRDefault="00270368" w:rsidP="00270368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270368" w:rsidRPr="00DB54DA" w:rsidRDefault="004B5697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428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24,3%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297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16,9%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.</w:t>
      </w:r>
    </w:p>
    <w:p w:rsidR="00270368" w:rsidRPr="00DB54DA" w:rsidRDefault="00270368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70368" w:rsidRPr="00DB54DA" w:rsidRDefault="004B5697" w:rsidP="0027036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270368" w:rsidRPr="00DB54D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270368" w:rsidRPr="00DB54D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270368" w:rsidRPr="00DB54D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270368" w:rsidRPr="00DB54DA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270368" w:rsidRPr="00DB54D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270368" w:rsidRPr="00DB54DA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444C56" w:rsidRPr="00DB54DA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maj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>)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147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15,2%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270368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270368" w:rsidRPr="00DB54DA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468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26,6%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270368" w:rsidRPr="00DB54DA">
        <w:rPr>
          <w:rFonts w:ascii="Tahoma" w:hAnsi="Tahoma" w:cs="Tahoma"/>
          <w:sz w:val="18"/>
          <w:szCs w:val="18"/>
          <w:lang w:val="sr-Cyrl-BA"/>
        </w:rPr>
        <w:t>.</w:t>
      </w:r>
    </w:p>
    <w:p w:rsidR="00B97590" w:rsidRPr="00DB54DA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DB54DA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F04921" w:rsidRPr="00DB54DA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DB54DA" w:rsidRDefault="00CE49EF" w:rsidP="00B97590">
      <w:pPr>
        <w:jc w:val="center"/>
        <w:rPr>
          <w:rFonts w:ascii="Tahoma" w:hAnsi="Tahoma" w:cs="Tahoma"/>
          <w:sz w:val="18"/>
          <w:szCs w:val="18"/>
        </w:rPr>
      </w:pPr>
      <w:r w:rsidRPr="00CE49EF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78.5pt;margin-top:182.65pt;width:188.35pt;height:22.2pt;z-index:251657216;mso-position-horizontal-relative:text;mso-position-vertical-relative:text;mso-width-relative:margin;mso-height-relative:margin" stroked="f">
            <v:textbox style="mso-next-textbox:#_x0000_s1061">
              <w:txbxContent>
                <w:p w:rsidR="00EB450E" w:rsidRPr="0095396E" w:rsidRDefault="00EB450E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270368" w:rsidRPr="00DB54DA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061833" cy="2456953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7590" w:rsidRPr="00DB54DA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DB54DA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DB54DA" w:rsidRDefault="004B5697" w:rsidP="00DB54D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8"/>
          <w:szCs w:val="18"/>
          <w:lang w:val="ru-RU"/>
        </w:rPr>
        <w:t>Grfikon</w:t>
      </w:r>
      <w:r w:rsidR="00B97590" w:rsidRPr="00DB54DA">
        <w:rPr>
          <w:rFonts w:ascii="Tahoma" w:hAnsi="Tahoma" w:cs="Tahoma"/>
          <w:sz w:val="18"/>
          <w:szCs w:val="18"/>
          <w:lang w:val="ru-RU"/>
        </w:rPr>
        <w:t xml:space="preserve"> 2. </w:t>
      </w:r>
      <w:r>
        <w:rPr>
          <w:rFonts w:ascii="Tahoma" w:hAnsi="Tahoma" w:cs="Tahoma"/>
          <w:iCs/>
          <w:sz w:val="18"/>
          <w:szCs w:val="18"/>
          <w:lang w:val="sr-Cyrl-CS"/>
        </w:rPr>
        <w:t>Iz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i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u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po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mjesecima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u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hilj</w:t>
      </w:r>
      <w:r>
        <w:rPr>
          <w:rFonts w:ascii="Tahoma" w:hAnsi="Tahoma" w:cs="Tahoma"/>
          <w:iCs/>
          <w:sz w:val="18"/>
          <w:szCs w:val="18"/>
          <w:lang w:val="sr-Cyrl-CS"/>
        </w:rPr>
        <w:t>adama</w:t>
      </w:r>
      <w:r w:rsidR="00B97590" w:rsidRPr="00DB54DA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KM</w:t>
      </w:r>
    </w:p>
    <w:p w:rsidR="0078288A" w:rsidRPr="00DB54DA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DB54DA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DB54DA" w:rsidRPr="00DB54DA" w:rsidRDefault="00DB54DA" w:rsidP="00EB450E">
      <w:pPr>
        <w:rPr>
          <w:rFonts w:ascii="Tahoma" w:hAnsi="Tahoma" w:cs="Tahoma"/>
          <w:b/>
          <w:sz w:val="28"/>
          <w:szCs w:val="28"/>
          <w:lang w:val="sr-Cyrl-CS"/>
        </w:rPr>
      </w:pPr>
    </w:p>
    <w:p w:rsidR="00EB450E" w:rsidRPr="00DB54DA" w:rsidRDefault="004B5697" w:rsidP="00EB450E">
      <w:pPr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Socijalna</w:t>
      </w:r>
      <w:r w:rsidR="00EB450E" w:rsidRPr="00DB54DA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zaštita</w:t>
      </w:r>
    </w:p>
    <w:p w:rsidR="00EB450E" w:rsidRPr="00DB54DA" w:rsidRDefault="00EB450E" w:rsidP="00EB450E">
      <w:pPr>
        <w:rPr>
          <w:rFonts w:ascii="Tahoma" w:hAnsi="Tahoma" w:cs="Tahoma"/>
          <w:b/>
          <w:sz w:val="28"/>
          <w:szCs w:val="28"/>
          <w:lang w:val="sr-Cyrl-CS"/>
        </w:rPr>
      </w:pPr>
    </w:p>
    <w:p w:rsidR="00EB450E" w:rsidRPr="00DB54DA" w:rsidRDefault="004B5697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socijalne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zaštite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350 300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2%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Međutim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evidentno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povećanje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maloljetnih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5%. </w:t>
      </w:r>
    </w:p>
    <w:p w:rsidR="00EB450E" w:rsidRPr="00DB54DA" w:rsidRDefault="004B5697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Najveći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maloljetnih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socijalne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zaštite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između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7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14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najviše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punoljetnih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preko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65 </w:t>
      </w:r>
      <w:r>
        <w:rPr>
          <w:rFonts w:ascii="Tahoma" w:hAnsi="Tahoma" w:cs="Tahoma"/>
          <w:sz w:val="18"/>
          <w:szCs w:val="18"/>
          <w:lang w:val="sr-Cyrl-CS"/>
        </w:rPr>
        <w:t>godina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>.</w:t>
      </w:r>
    </w:p>
    <w:p w:rsidR="00EB450E" w:rsidRPr="00DB54DA" w:rsidRDefault="004B5697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DB54DA">
        <w:rPr>
          <w:rFonts w:ascii="Tahoma" w:hAnsi="Tahoma" w:cs="Tahoma"/>
          <w:sz w:val="18"/>
          <w:szCs w:val="18"/>
          <w:lang w:val="sr-Cyrl-CS"/>
        </w:rPr>
        <w:t>,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pružen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B54DA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oblika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socijalne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zaštite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skoro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7%). </w:t>
      </w: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B450E" w:rsidRPr="00DB54DA" w:rsidRDefault="004B5697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Evidentirano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osam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ustanova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socijalne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zaštite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omladinu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10 </w:t>
      </w:r>
      <w:r>
        <w:rPr>
          <w:rFonts w:ascii="Tahoma" w:hAnsi="Tahoma" w:cs="Tahoma"/>
          <w:sz w:val="18"/>
          <w:szCs w:val="18"/>
          <w:lang w:val="sr-Cyrl-CS"/>
        </w:rPr>
        <w:t>ustanova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odrasle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ustanova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omladinu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544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skoro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nepromijenjen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ustanova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odrasle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povećao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>052.</w:t>
      </w:r>
    </w:p>
    <w:p w:rsidR="00EB450E" w:rsidRPr="00DB54DA" w:rsidRDefault="00EB450E" w:rsidP="00EB450E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B450E" w:rsidRPr="00DB54DA" w:rsidRDefault="004B5697" w:rsidP="00EB450E">
      <w:pPr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/>
        </w:rPr>
        <w:t>Ukupan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koji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ostvarivali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pravo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dodatak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djecu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2011.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iznosi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29 674, </w:t>
      </w:r>
      <w:r>
        <w:rPr>
          <w:rFonts w:ascii="Tahoma" w:hAnsi="Tahoma" w:cs="Tahoma"/>
          <w:sz w:val="18"/>
          <w:szCs w:val="18"/>
          <w:lang w:val="sr-Latn-BA"/>
        </w:rPr>
        <w:t>a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djece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koja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su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koristila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pravo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dodatak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djecu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istoj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godini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/>
        </w:rPr>
        <w:t>je</w:t>
      </w:r>
      <w:r w:rsidR="00EB450E" w:rsidRPr="00DB54DA">
        <w:rPr>
          <w:rFonts w:ascii="Tahoma" w:hAnsi="Tahoma" w:cs="Tahoma"/>
          <w:sz w:val="18"/>
          <w:szCs w:val="18"/>
          <w:lang w:val="sr-Latn-BA"/>
        </w:rPr>
        <w:t xml:space="preserve"> 41 636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ukupan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pravo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dodatak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djece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korisnika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smanjili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2,0%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EB450E" w:rsidRPr="00DB54DA">
        <w:rPr>
          <w:rFonts w:ascii="Tahoma" w:hAnsi="Tahoma" w:cs="Tahoma"/>
          <w:sz w:val="18"/>
          <w:szCs w:val="18"/>
          <w:lang w:val="sr-Cyrl-CS"/>
        </w:rPr>
        <w:t>.</w:t>
      </w:r>
    </w:p>
    <w:p w:rsidR="00EB450E" w:rsidRPr="00DB54DA" w:rsidRDefault="00EB450E" w:rsidP="00EB450E">
      <w:pPr>
        <w:ind w:firstLine="72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372FAD" w:rsidRPr="00DB54DA" w:rsidRDefault="00372FAD">
      <w:pPr>
        <w:rPr>
          <w:rFonts w:ascii="Tahoma" w:hAnsi="Tahoma" w:cs="Tahoma"/>
          <w:b/>
          <w:sz w:val="28"/>
          <w:szCs w:val="28"/>
        </w:rPr>
      </w:pPr>
      <w:r w:rsidRPr="00DB54DA">
        <w:rPr>
          <w:rFonts w:ascii="Tahoma" w:hAnsi="Tahoma" w:cs="Tahoma"/>
          <w:b/>
          <w:sz w:val="28"/>
          <w:szCs w:val="28"/>
        </w:rPr>
        <w:br w:type="page"/>
      </w:r>
    </w:p>
    <w:p w:rsidR="009F6652" w:rsidRPr="00DB54DA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205D07" w:rsidRPr="00DB54DA" w:rsidRDefault="00205D07" w:rsidP="00B32263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9F6652" w:rsidRPr="00DB54DA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DB54DA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DB54DA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4B5697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DB54DA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DB54DA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8C3261" w:rsidRPr="00DB54DA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DB54DA" w:rsidRDefault="004B5697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23F12" w:rsidRPr="00DB54DA" w:rsidRDefault="004B5697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205D07" w:rsidRPr="00DB54DA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8C3261" w:rsidRPr="00DB54DA" w:rsidRDefault="00CE49EF" w:rsidP="00542A21">
            <w:pPr>
              <w:rPr>
                <w:rFonts w:ascii="Tahoma" w:hAnsi="Tahoma" w:cs="Tahoma"/>
                <w:sz w:val="16"/>
              </w:rPr>
            </w:pPr>
            <w:hyperlink r:id="rId11" w:history="1">
              <w:r w:rsidR="00205D07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biljana.glisic@rzs.rs.ba</w:t>
              </w:r>
            </w:hyperlink>
            <w:r w:rsidR="00205D07" w:rsidRPr="00DB54DA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DB54DA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DB54DA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4B5697" w:rsidP="00542A2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05D07" w:rsidRPr="00DB54DA" w:rsidRDefault="004B569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Biljana</w:t>
            </w:r>
            <w:r w:rsidR="00205D07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Tešić</w:t>
            </w:r>
          </w:p>
          <w:p w:rsidR="00205D07" w:rsidRPr="00DB54DA" w:rsidRDefault="00CE49EF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biljana.tesic@rzs.rs.ba</w:t>
              </w:r>
            </w:hyperlink>
            <w:r w:rsidR="00205D07" w:rsidRPr="00DB54DA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DB54DA" w:rsidRDefault="004B5697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DB54DA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DB54DA" w:rsidRDefault="00CE49EF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3" w:history="1"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jasminka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milic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DB54DA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4B5697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DB54DA" w:rsidRDefault="004B5697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DB54DA" w:rsidRDefault="00CE49EF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4" w:history="1"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mirjana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bandur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  <w:r w:rsidR="008C3261" w:rsidRPr="00DB54D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DB54DA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4B5697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DB54DA" w:rsidRDefault="004B5697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DB54DA" w:rsidRDefault="00CE49EF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5" w:history="1"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stojcevic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</w:p>
          <w:p w:rsidR="008C3261" w:rsidRPr="00DB54DA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72FAD" w:rsidRPr="00DB54DA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72FAD" w:rsidRPr="00DB54DA" w:rsidRDefault="004B5697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372FAD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socijalne</w:t>
            </w:r>
            <w:r w:rsidR="00EB450E" w:rsidRPr="00DB54D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zaštite</w:t>
            </w:r>
          </w:p>
          <w:p w:rsidR="00372FAD" w:rsidRPr="00DB54DA" w:rsidRDefault="004B5697" w:rsidP="00542A21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EB450E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Panić</w:t>
            </w:r>
          </w:p>
          <w:p w:rsidR="00372FAD" w:rsidRPr="00DB54DA" w:rsidRDefault="00CE49EF" w:rsidP="00372FAD">
            <w:pPr>
              <w:rPr>
                <w:lang w:val="sr-Cyrl-CS"/>
              </w:rPr>
            </w:pPr>
            <w:hyperlink r:id="rId16" w:history="1"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Latn-CS"/>
                </w:rPr>
                <w:t>panic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EB450E" w:rsidRPr="00DB54DA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</w:p>
          <w:p w:rsidR="00372FAD" w:rsidRPr="00DB54DA" w:rsidRDefault="00372FAD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Pr="00DB54DA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DB54DA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4B5697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DB54DA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DB54DA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B54DA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DB54DA">
              <w:rPr>
                <w:rFonts w:ascii="Tahoma" w:hAnsi="Tahoma" w:cs="Tahoma"/>
                <w:b/>
                <w:bCs/>
              </w:rPr>
              <w:sym w:font="Symbol" w:char="00C6"/>
            </w:r>
            <w:r w:rsidRPr="00DB54DA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DB54DA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4B5697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DB54DA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DB54DA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DB54D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DB54DA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DB54DA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DB54DA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DB54DA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DB54DA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DB54DA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43E9" w:rsidRDefault="009B43E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43E9" w:rsidRPr="009B43E9" w:rsidRDefault="009B43E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Pr="00DB54DA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DB54DA" w:rsidRDefault="00CE49EF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CE49EF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DB54DA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DB54DA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DB54DA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DB54DA" w:rsidRDefault="004B5697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DB54DA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DB54DA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DB54DA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DB54DA" w:rsidRDefault="004B5697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DB54DA" w:rsidRDefault="004B5697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DB54DA" w:rsidRDefault="004B5697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DB54DA" w:rsidRDefault="004B5697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DB54DA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DB54DA" w:rsidRDefault="004B5697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DB54DA" w:rsidRDefault="004B5697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DB54DA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DB54DA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DB54DA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7" w:history="1"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DB54DA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DB54DA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DB54DA" w:rsidRDefault="004B5697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DB54DA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DB54DA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DB54DA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DB54DA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DB54DA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DB54DA" w:rsidRDefault="00CE49EF" w:rsidP="008C3261">
      <w:pPr>
        <w:rPr>
          <w:lang w:val="sr-Cyrl-BA"/>
        </w:rPr>
      </w:pPr>
      <w:r w:rsidRPr="00CE49EF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DB54DA" w:rsidRDefault="00657939" w:rsidP="008C3261">
      <w:pPr>
        <w:rPr>
          <w:lang w:val="sr-Cyrl-BA"/>
        </w:rPr>
      </w:pPr>
    </w:p>
    <w:sectPr w:rsidR="00657939" w:rsidRPr="00DB54DA" w:rsidSect="00EB450E">
      <w:headerReference w:type="default" r:id="rId18"/>
      <w:head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0E" w:rsidRDefault="00EB450E">
      <w:r>
        <w:separator/>
      </w:r>
    </w:p>
  </w:endnote>
  <w:endnote w:type="continuationSeparator" w:id="0">
    <w:p w:rsidR="00EB450E" w:rsidRDefault="00EB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0E" w:rsidRDefault="00EB450E">
      <w:r>
        <w:separator/>
      </w:r>
    </w:p>
  </w:footnote>
  <w:footnote w:type="continuationSeparator" w:id="0">
    <w:p w:rsidR="00EB450E" w:rsidRDefault="00EB4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DB54DA" w:rsidTr="009665B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DB54DA" w:rsidRDefault="00DB54DA" w:rsidP="009665B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DB54DA" w:rsidRPr="00460A5B" w:rsidRDefault="00DB54DA" w:rsidP="009665BA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DB54DA" w:rsidRPr="005D5311" w:rsidRDefault="00DB54DA" w:rsidP="00DB54D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јун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</w:t>
          </w:r>
          <w:r w:rsidR="00CE49EF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CE49EF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4B5697">
            <w:rPr>
              <w:rStyle w:val="PageNumber"/>
              <w:rFonts w:ascii="Tahoma" w:hAnsi="Tahoma"/>
              <w:b/>
              <w:noProof/>
              <w:color w:val="0070C0"/>
            </w:rPr>
            <w:t>2</w:t>
          </w:r>
          <w:r w:rsidR="00CE49EF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EB450E" w:rsidRDefault="00EB450E" w:rsidP="006D0CE1">
    <w:pPr>
      <w:pStyle w:val="Header"/>
      <w:ind w:right="360"/>
      <w:rPr>
        <w:rFonts w:ascii="Tahoma" w:hAnsi="Tahoma" w:cs="Tahoma"/>
        <w:sz w:val="16"/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8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B450E" w:rsidRPr="00EB450E" w:rsidRDefault="00CE49EF">
        <w:pPr>
          <w:pStyle w:val="Header"/>
          <w:jc w:val="right"/>
          <w:rPr>
            <w:color w:val="FFFFFF" w:themeColor="background1"/>
          </w:rPr>
        </w:pPr>
        <w:r w:rsidRPr="00EB450E">
          <w:rPr>
            <w:color w:val="FFFFFF" w:themeColor="background1"/>
          </w:rPr>
          <w:fldChar w:fldCharType="begin"/>
        </w:r>
        <w:r w:rsidR="00EB450E" w:rsidRPr="00EB450E">
          <w:rPr>
            <w:color w:val="FFFFFF" w:themeColor="background1"/>
          </w:rPr>
          <w:instrText xml:space="preserve"> PAGE   \* MERGEFORMAT </w:instrText>
        </w:r>
        <w:r w:rsidRPr="00EB450E">
          <w:rPr>
            <w:color w:val="FFFFFF" w:themeColor="background1"/>
          </w:rPr>
          <w:fldChar w:fldCharType="separate"/>
        </w:r>
        <w:r w:rsidR="004B5697">
          <w:rPr>
            <w:noProof/>
            <w:color w:val="FFFFFF" w:themeColor="background1"/>
          </w:rPr>
          <w:t>1</w:t>
        </w:r>
        <w:r w:rsidRPr="00EB450E">
          <w:rPr>
            <w:color w:val="FFFFFF" w:themeColor="background1"/>
          </w:rPr>
          <w:fldChar w:fldCharType="end"/>
        </w:r>
      </w:p>
    </w:sdtContent>
  </w:sdt>
  <w:p w:rsidR="00EB450E" w:rsidRDefault="00EB450E">
    <w:pPr>
      <w:pStyle w:val="Header"/>
    </w:pPr>
  </w:p>
  <w:p w:rsidR="00DB54DA" w:rsidRDefault="00DB5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8A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8CE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368"/>
    <w:rsid w:val="00270462"/>
    <w:rsid w:val="0027151F"/>
    <w:rsid w:val="00271A5A"/>
    <w:rsid w:val="0027269C"/>
    <w:rsid w:val="00272A1A"/>
    <w:rsid w:val="00272E9A"/>
    <w:rsid w:val="00272FE5"/>
    <w:rsid w:val="0027310B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4C56"/>
    <w:rsid w:val="00445324"/>
    <w:rsid w:val="004459B2"/>
    <w:rsid w:val="00445CA0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697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3A2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43E9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16F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8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9EF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109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4DA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10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450E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sminka.mili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ljana.tes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nja.panic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jana.glisic@rzs.rs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rjana.bandur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maj%202012\za%20Graf%20I-V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32"/>
          <c:w val="0.65206660337670563"/>
          <c:h val="0.63034152452997794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lll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816</c:v>
                </c:pt>
                <c:pt idx="1">
                  <c:v>817</c:v>
                </c:pt>
                <c:pt idx="2">
                  <c:v>811</c:v>
                </c:pt>
                <c:pt idx="3">
                  <c:v>813</c:v>
                </c:pt>
                <c:pt idx="4">
                  <c:v>807</c:v>
                </c:pt>
                <c:pt idx="5">
                  <c:v>802</c:v>
                </c:pt>
                <c:pt idx="6">
                  <c:v>813</c:v>
                </c:pt>
                <c:pt idx="7">
                  <c:v>815</c:v>
                </c:pt>
                <c:pt idx="8">
                  <c:v>819</c:v>
                </c:pt>
                <c:pt idx="9">
                  <c:v>821</c:v>
                </c:pt>
                <c:pt idx="10">
                  <c:v>814</c:v>
                </c:pt>
                <c:pt idx="11">
                  <c:v>817</c:v>
                </c:pt>
                <c:pt idx="12">
                  <c:v>826</c:v>
                </c:pt>
              </c:numCache>
            </c:numRef>
          </c:val>
        </c:ser>
        <c:marker val="1"/>
        <c:axId val="29624192"/>
        <c:axId val="29625728"/>
      </c:lineChart>
      <c:catAx>
        <c:axId val="29624192"/>
        <c:scaling>
          <c:orientation val="minMax"/>
        </c:scaling>
        <c:axPos val="b"/>
        <c:tickLblPos val="nextTo"/>
        <c:crossAx val="29625728"/>
        <c:crosses val="autoZero"/>
        <c:lblAlgn val="ctr"/>
        <c:lblOffset val="100"/>
      </c:catAx>
      <c:valAx>
        <c:axId val="29625728"/>
        <c:scaling>
          <c:orientation val="minMax"/>
          <c:max val="850"/>
          <c:min val="600"/>
        </c:scaling>
        <c:axPos val="l"/>
        <c:majorGridlines/>
        <c:numFmt formatCode="General" sourceLinked="1"/>
        <c:tickLblPos val="nextTo"/>
        <c:crossAx val="29624192"/>
        <c:crosses val="autoZero"/>
        <c:crossBetween val="between"/>
        <c:majorUnit val="40"/>
      </c:valAx>
    </c:plotArea>
    <c:legend>
      <c:legendPos val="r"/>
      <c:layout/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0594683783522694"/>
          <c:h val="0.79126747642303308"/>
        </c:manualLayout>
      </c:layout>
      <c:lineChart>
        <c:grouping val="standard"/>
        <c:ser>
          <c:idx val="0"/>
          <c:order val="0"/>
          <c:tx>
            <c:strRef>
              <c:f>zaMaj2012!$A$2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zaMaj2012!$B$1:$N$1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zaMaj2012!$B$2:$N$2</c:f>
              <c:numCache>
                <c:formatCode>General</c:formatCode>
                <c:ptCount val="13"/>
                <c:pt idx="0">
                  <c:v>344720</c:v>
                </c:pt>
                <c:pt idx="1">
                  <c:v>467781</c:v>
                </c:pt>
                <c:pt idx="2">
                  <c:v>408777</c:v>
                </c:pt>
                <c:pt idx="3">
                  <c:v>375448</c:v>
                </c:pt>
                <c:pt idx="4">
                  <c:v>423860</c:v>
                </c:pt>
                <c:pt idx="5">
                  <c:v>396712</c:v>
                </c:pt>
                <c:pt idx="6">
                  <c:v>393737</c:v>
                </c:pt>
                <c:pt idx="7">
                  <c:v>456851</c:v>
                </c:pt>
                <c:pt idx="8">
                  <c:v>290628</c:v>
                </c:pt>
                <c:pt idx="9">
                  <c:v>242652</c:v>
                </c:pt>
                <c:pt idx="10">
                  <c:v>474051</c:v>
                </c:pt>
                <c:pt idx="11">
                  <c:v>372405</c:v>
                </c:pt>
                <c:pt idx="12">
                  <c:v>382867</c:v>
                </c:pt>
              </c:numCache>
            </c:numRef>
          </c:val>
        </c:ser>
        <c:ser>
          <c:idx val="1"/>
          <c:order val="1"/>
          <c:tx>
            <c:strRef>
              <c:f>zaMaj2012!$A$3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zaMaj2012!$B$1:$N$1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zaMaj2012!$B$3:$N$3</c:f>
              <c:numCache>
                <c:formatCode>General</c:formatCode>
                <c:ptCount val="13"/>
                <c:pt idx="0">
                  <c:v>207617</c:v>
                </c:pt>
                <c:pt idx="1">
                  <c:v>228912</c:v>
                </c:pt>
                <c:pt idx="2">
                  <c:v>214293</c:v>
                </c:pt>
                <c:pt idx="3">
                  <c:v>218373</c:v>
                </c:pt>
                <c:pt idx="4">
                  <c:v>248961</c:v>
                </c:pt>
                <c:pt idx="5">
                  <c:v>220859</c:v>
                </c:pt>
                <c:pt idx="6">
                  <c:v>225703</c:v>
                </c:pt>
                <c:pt idx="7">
                  <c:v>203743</c:v>
                </c:pt>
                <c:pt idx="8">
                  <c:v>158330</c:v>
                </c:pt>
                <c:pt idx="9">
                  <c:v>161327</c:v>
                </c:pt>
                <c:pt idx="10">
                  <c:v>214153</c:v>
                </c:pt>
                <c:pt idx="11">
                  <c:v>204803</c:v>
                </c:pt>
                <c:pt idx="12">
                  <c:v>227243</c:v>
                </c:pt>
              </c:numCache>
            </c:numRef>
          </c:val>
        </c:ser>
        <c:marker val="1"/>
        <c:axId val="29676672"/>
        <c:axId val="29678208"/>
      </c:lineChart>
      <c:catAx>
        <c:axId val="296766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9678208"/>
        <c:crosses val="autoZero"/>
        <c:auto val="1"/>
        <c:lblAlgn val="ctr"/>
        <c:lblOffset val="100"/>
      </c:catAx>
      <c:valAx>
        <c:axId val="29678208"/>
        <c:scaling>
          <c:orientation val="minMax"/>
        </c:scaling>
        <c:axPos val="l"/>
        <c:majorGridlines/>
        <c:numFmt formatCode="#\ ##0;\-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967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28765937151263"/>
          <c:y val="0.41628280839895326"/>
          <c:w val="0.13669099874979726"/>
          <c:h val="0.16743438320210127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56E2-4CD7-4642-BEAC-3B1CD915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1756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12337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dc:description/>
  <cp:lastModifiedBy>cejvanve</cp:lastModifiedBy>
  <cp:revision>15</cp:revision>
  <cp:lastPrinted>2012-06-21T08:34:00Z</cp:lastPrinted>
  <dcterms:created xsi:type="dcterms:W3CDTF">2012-03-21T08:18:00Z</dcterms:created>
  <dcterms:modified xsi:type="dcterms:W3CDTF">2012-06-22T07:57:00Z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