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FE5BF0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5BF0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FE5BF0">
              <w:rPr>
                <w:rFonts w:ascii="Tahoma" w:hAnsi="Tahoma" w:cs="Tahoma"/>
              </w:rPr>
              <w:br w:type="column"/>
            </w:r>
            <w:r w:rsidRPr="00FE5BF0">
              <w:rPr>
                <w:rFonts w:ascii="Tahoma" w:hAnsi="Tahoma" w:cs="Tahoma"/>
              </w:rPr>
              <w:br w:type="column"/>
            </w:r>
            <w:r w:rsidRPr="00FE5BF0">
              <w:rPr>
                <w:rFonts w:ascii="Tahoma" w:hAnsi="Tahoma" w:cs="Tahoma"/>
              </w:rPr>
              <w:br w:type="page"/>
            </w:r>
            <w:r w:rsidRPr="00FE5BF0">
              <w:rPr>
                <w:rFonts w:ascii="Tahoma" w:hAnsi="Tahoma" w:cs="Tahoma"/>
              </w:rPr>
              <w:br w:type="page"/>
            </w:r>
            <w:r w:rsidR="00B97590" w:rsidRPr="00FE5BF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FE5BF0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E5BF0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FE5BF0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956B1" w:rsidRDefault="005D5311" w:rsidP="006F6AEE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</w:rPr>
            </w:pPr>
            <w:r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9B294C"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</w:t>
            </w:r>
            <w:r w:rsidR="00AA6475" w:rsidRPr="00E956B1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Pr="00E956B1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8F0D74" w:rsidRPr="00E956B1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март</w:t>
            </w:r>
            <w:r w:rsidR="00AA6475" w:rsidRPr="00E956B1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1A34F5"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2012</w:t>
            </w:r>
            <w:r w:rsidRPr="00E956B1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.]  </w:t>
            </w:r>
            <w:r w:rsidR="006F6AEE"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3</w:t>
            </w:r>
            <w:r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="00910A31" w:rsidRPr="00E956B1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  <w:tr w:rsidR="005D5311" w:rsidRPr="00FE5BF0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FE5BF0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FE5BF0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FE5BF0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FE5BF0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956B1" w:rsidRDefault="006F6AEE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март</w:t>
            </w:r>
            <w:r w:rsidR="007E158B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910A31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E956B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FE5BF0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956B1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E956B1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FE5BF0" w:rsidRDefault="00B07584" w:rsidP="009215D1">
      <w:pPr>
        <w:spacing w:line="360" w:lineRule="auto"/>
        <w:jc w:val="both"/>
        <w:rPr>
          <w:lang w:val="sr-Cyrl-BA"/>
        </w:rPr>
      </w:pPr>
    </w:p>
    <w:p w:rsidR="00F04921" w:rsidRPr="00FE5BF0" w:rsidRDefault="00F04921" w:rsidP="00F04921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Рeални раст тромјесечног бруто домаћег производа 0,</w:t>
      </w:r>
      <w:r w:rsidRPr="00FE5BF0">
        <w:rPr>
          <w:rFonts w:ascii="Tahoma" w:hAnsi="Tahoma" w:cs="Tahoma"/>
          <w:b/>
          <w:bCs/>
          <w:sz w:val="28"/>
          <w:szCs w:val="28"/>
          <w:lang w:eastAsia="sr-Latn-BA"/>
        </w:rPr>
        <w:t>2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за период</w:t>
      </w:r>
    </w:p>
    <w:p w:rsidR="00F04921" w:rsidRPr="00FE5BF0" w:rsidRDefault="00F04921" w:rsidP="00F04921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(I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V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тромјесечје 201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/IV тромјесечје 20</w:t>
      </w:r>
      <w:r w:rsidRPr="00FE5BF0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FE5BF0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F04921" w:rsidRPr="00FE5BF0" w:rsidRDefault="00F04921" w:rsidP="00F04921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F04921" w:rsidRPr="00FE5BF0" w:rsidRDefault="00F04921" w:rsidP="008F0D74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Тромјесечни бруто домаћи производ реално је већи за </w:t>
      </w:r>
      <w:r w:rsidRPr="00FE5BF0">
        <w:rPr>
          <w:rFonts w:ascii="Tahoma" w:hAnsi="Tahoma" w:cs="Tahoma"/>
          <w:sz w:val="18"/>
          <w:szCs w:val="18"/>
          <w:lang w:eastAsia="sr-Latn-BA"/>
        </w:rPr>
        <w:t>0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,</w:t>
      </w:r>
      <w:r w:rsidRPr="00FE5BF0">
        <w:rPr>
          <w:rFonts w:ascii="Tahoma" w:hAnsi="Tahoma" w:cs="Tahoma"/>
          <w:sz w:val="18"/>
          <w:szCs w:val="18"/>
          <w:lang w:eastAsia="sr-Latn-BA"/>
        </w:rPr>
        <w:t>2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% 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четвртом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. године у односу на 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четврто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тромјесечје 20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 w:rsidRPr="00FE5BF0">
        <w:rPr>
          <w:rFonts w:ascii="Tahoma" w:hAnsi="Tahoma" w:cs="Tahoma"/>
          <w:sz w:val="18"/>
          <w:szCs w:val="18"/>
          <w:lang w:eastAsia="sr-Latn-BA"/>
        </w:rPr>
        <w:t>г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proofErr w:type="gramEnd"/>
      <w:r w:rsidRPr="00FE5BF0">
        <w:rPr>
          <w:rFonts w:ascii="Tahoma" w:hAnsi="Tahoma" w:cs="Tahoma"/>
          <w:sz w:val="18"/>
          <w:szCs w:val="18"/>
          <w:lang w:eastAsia="sr-Latn-BA"/>
        </w:rPr>
        <w:t>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Посматрано по подручјима Класификације дјелатности, највећи реални раст 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додате вриједности 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>остварен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је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 у подручјима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Вађење руда и камена</w:t>
      </w:r>
      <w:r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FE5BF0">
        <w:rPr>
          <w:rFonts w:ascii="Tahoma" w:hAnsi="Tahoma" w:cs="Tahoma"/>
          <w:sz w:val="18"/>
          <w:szCs w:val="18"/>
        </w:rPr>
        <w:t>за</w:t>
      </w:r>
      <w:proofErr w:type="spellEnd"/>
      <w:r w:rsidRPr="00FE5BF0">
        <w:rPr>
          <w:rFonts w:ascii="Tahoma" w:hAnsi="Tahoma" w:cs="Tahoma"/>
          <w:sz w:val="18"/>
          <w:szCs w:val="18"/>
        </w:rPr>
        <w:t xml:space="preserve"> 7</w:t>
      </w:r>
      <w:r w:rsidRPr="00FE5BF0">
        <w:rPr>
          <w:rFonts w:ascii="Tahoma" w:hAnsi="Tahoma" w:cs="Tahoma"/>
          <w:sz w:val="18"/>
          <w:szCs w:val="18"/>
          <w:lang w:val="ru-RU"/>
        </w:rPr>
        <w:t>,</w:t>
      </w:r>
      <w:r w:rsidRPr="00FE5BF0">
        <w:rPr>
          <w:rFonts w:ascii="Tahoma" w:hAnsi="Tahoma" w:cs="Tahoma"/>
          <w:sz w:val="18"/>
          <w:szCs w:val="18"/>
        </w:rPr>
        <w:t>8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Саобраћај, складиштење и комуникације</w:t>
      </w:r>
      <w:r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за </w:t>
      </w:r>
      <w:r w:rsidRPr="00FE5BF0">
        <w:rPr>
          <w:rFonts w:ascii="Tahoma" w:hAnsi="Tahoma" w:cs="Tahoma"/>
          <w:sz w:val="18"/>
          <w:szCs w:val="18"/>
        </w:rPr>
        <w:t>3</w:t>
      </w:r>
      <w:r w:rsidRPr="00FE5BF0">
        <w:rPr>
          <w:rFonts w:ascii="Tahoma" w:hAnsi="Tahoma" w:cs="Tahoma"/>
          <w:sz w:val="18"/>
          <w:szCs w:val="18"/>
          <w:lang w:val="ru-RU"/>
        </w:rPr>
        <w:t>,</w:t>
      </w:r>
      <w:r w:rsidRPr="00FE5BF0">
        <w:rPr>
          <w:rFonts w:ascii="Tahoma" w:hAnsi="Tahoma" w:cs="Tahoma"/>
          <w:sz w:val="18"/>
          <w:szCs w:val="18"/>
        </w:rPr>
        <w:t>6</w:t>
      </w:r>
      <w:r w:rsidRPr="00FE5BF0">
        <w:rPr>
          <w:rFonts w:ascii="Tahoma" w:hAnsi="Tahoma" w:cs="Tahoma"/>
          <w:sz w:val="18"/>
          <w:szCs w:val="18"/>
          <w:lang w:val="ru-RU"/>
        </w:rPr>
        <w:t>%,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Пословање некретнинама,</w:t>
      </w:r>
      <w:r w:rsidRPr="00FE5BF0">
        <w:rPr>
          <w:rFonts w:ascii="Tahoma" w:hAnsi="Tahoma" w:cs="Tahoma"/>
          <w:i/>
          <w:sz w:val="18"/>
          <w:szCs w:val="18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изнајмљивање и пословне дјелатности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Pr="00FE5BF0">
        <w:rPr>
          <w:rFonts w:ascii="Tahoma" w:hAnsi="Tahoma" w:cs="Tahoma"/>
          <w:sz w:val="18"/>
          <w:szCs w:val="18"/>
        </w:rPr>
        <w:t>3</w:t>
      </w:r>
      <w:r w:rsidRPr="00FE5BF0">
        <w:rPr>
          <w:rFonts w:ascii="Tahoma" w:hAnsi="Tahoma" w:cs="Tahoma"/>
          <w:sz w:val="18"/>
          <w:szCs w:val="18"/>
          <w:lang w:val="sr-Cyrl-CS"/>
        </w:rPr>
        <w:t>,</w:t>
      </w:r>
      <w:r w:rsidRPr="00FE5BF0">
        <w:rPr>
          <w:rFonts w:ascii="Tahoma" w:hAnsi="Tahoma" w:cs="Tahoma"/>
          <w:sz w:val="18"/>
          <w:szCs w:val="18"/>
        </w:rPr>
        <w:t>6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%,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Остале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јавне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комуналне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друштвене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социјалне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 и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личне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услужне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FE5BF0">
        <w:rPr>
          <w:rFonts w:ascii="Tahoma" w:hAnsi="Tahoma" w:cs="Tahoma"/>
          <w:i/>
          <w:sz w:val="18"/>
          <w:szCs w:val="18"/>
        </w:rPr>
        <w:t>дјелатности</w:t>
      </w:r>
      <w:proofErr w:type="spellEnd"/>
      <w:r w:rsidRPr="00FE5BF0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FE5BF0">
        <w:rPr>
          <w:rFonts w:ascii="Tahoma" w:hAnsi="Tahoma" w:cs="Tahoma"/>
          <w:sz w:val="18"/>
          <w:szCs w:val="18"/>
        </w:rPr>
        <w:t>за</w:t>
      </w:r>
      <w:proofErr w:type="spellEnd"/>
      <w:r w:rsidRPr="00FE5BF0">
        <w:rPr>
          <w:rFonts w:ascii="Tahoma" w:hAnsi="Tahoma" w:cs="Tahoma"/>
          <w:sz w:val="18"/>
          <w:szCs w:val="18"/>
        </w:rPr>
        <w:t xml:space="preserve"> 3,1%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Финансијско посредовање</w:t>
      </w:r>
      <w:r w:rsidR="008F0D74" w:rsidRPr="00FE5BF0">
        <w:rPr>
          <w:rFonts w:ascii="Tahoma" w:hAnsi="Tahoma" w:cs="Tahoma"/>
          <w:sz w:val="18"/>
          <w:szCs w:val="18"/>
          <w:lang w:val="ru-RU"/>
        </w:rPr>
        <w:t xml:space="preserve"> за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2</w:t>
      </w:r>
      <w:r w:rsidRPr="00FE5BF0">
        <w:rPr>
          <w:rFonts w:ascii="Tahoma" w:hAnsi="Tahoma" w:cs="Tahoma"/>
          <w:sz w:val="18"/>
          <w:szCs w:val="18"/>
          <w:lang w:val="ru-RU"/>
        </w:rPr>
        <w:t>,</w:t>
      </w:r>
      <w:r w:rsidRPr="00FE5BF0">
        <w:rPr>
          <w:rFonts w:ascii="Tahoma" w:hAnsi="Tahoma" w:cs="Tahoma"/>
          <w:sz w:val="18"/>
          <w:szCs w:val="18"/>
          <w:lang w:val="sr-Cyrl-CS"/>
        </w:rPr>
        <w:t>9</w:t>
      </w:r>
      <w:r w:rsidRPr="00FE5BF0">
        <w:rPr>
          <w:rFonts w:ascii="Tahoma" w:hAnsi="Tahoma" w:cs="Tahoma"/>
          <w:sz w:val="18"/>
          <w:szCs w:val="18"/>
          <w:lang w:val="ru-RU"/>
        </w:rPr>
        <w:t>%</w:t>
      </w:r>
      <w:r w:rsidRPr="00FE5BF0">
        <w:rPr>
          <w:rFonts w:ascii="Tahoma" w:hAnsi="Tahoma" w:cs="Tahoma"/>
          <w:sz w:val="18"/>
          <w:szCs w:val="18"/>
        </w:rPr>
        <w:t>,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 xml:space="preserve">док је 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додата вриједност реално мања 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>у подручјима: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енергијом, гасом и водо</w:t>
      </w:r>
      <w:r w:rsidRPr="00FE5BF0">
        <w:rPr>
          <w:rFonts w:ascii="Tahoma" w:hAnsi="Tahoma" w:cs="Tahoma"/>
          <w:i/>
          <w:sz w:val="18"/>
          <w:szCs w:val="18"/>
        </w:rPr>
        <w:t>м</w:t>
      </w:r>
      <w:r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 6,1%,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Рибарство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за 4,4%,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Грађевинарство</w:t>
      </w:r>
      <w:r w:rsidR="008F0D74" w:rsidRPr="00FE5BF0">
        <w:rPr>
          <w:rFonts w:ascii="Tahoma" w:hAnsi="Tahoma" w:cs="Tahoma"/>
          <w:sz w:val="18"/>
          <w:szCs w:val="18"/>
          <w:lang w:val="sr-Cyrl-CS"/>
        </w:rPr>
        <w:t xml:space="preserve"> за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4,2%,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Пољопривреда,</w:t>
      </w:r>
      <w:r w:rsidRPr="00FE5BF0">
        <w:rPr>
          <w:rFonts w:ascii="Tahoma" w:hAnsi="Tahoma" w:cs="Tahoma"/>
          <w:i/>
          <w:sz w:val="18"/>
          <w:szCs w:val="18"/>
        </w:rPr>
        <w:t xml:space="preserve"> </w:t>
      </w:r>
      <w:r w:rsidR="008F0D74" w:rsidRPr="00FE5BF0">
        <w:rPr>
          <w:rFonts w:ascii="Tahoma" w:hAnsi="Tahoma" w:cs="Tahoma"/>
          <w:i/>
          <w:sz w:val="18"/>
          <w:szCs w:val="18"/>
          <w:lang w:val="ru-RU"/>
        </w:rPr>
        <w:t>лов и шумарство</w:t>
      </w:r>
      <w:r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ru-RU"/>
        </w:rPr>
        <w:t>за 3,5%,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1,2% и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77257D" w:rsidRPr="00FE5BF0">
        <w:rPr>
          <w:rFonts w:ascii="Tahoma" w:hAnsi="Tahoma" w:cs="Tahoma"/>
          <w:sz w:val="18"/>
          <w:szCs w:val="18"/>
          <w:lang w:val="ru-RU"/>
        </w:rPr>
        <w:t xml:space="preserve">  за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0</w:t>
      </w:r>
      <w:r w:rsidRPr="00FE5BF0">
        <w:rPr>
          <w:rFonts w:ascii="Tahoma" w:hAnsi="Tahoma" w:cs="Tahoma"/>
          <w:sz w:val="18"/>
          <w:szCs w:val="18"/>
          <w:lang w:val="ru-RU"/>
        </w:rPr>
        <w:t>,</w:t>
      </w:r>
      <w:r w:rsidRPr="00FE5BF0">
        <w:rPr>
          <w:rFonts w:ascii="Tahoma" w:hAnsi="Tahoma" w:cs="Tahoma"/>
          <w:sz w:val="18"/>
          <w:szCs w:val="18"/>
          <w:lang w:val="sr-Cyrl-CS"/>
        </w:rPr>
        <w:t>2</w:t>
      </w:r>
      <w:r w:rsidRPr="00FE5BF0">
        <w:rPr>
          <w:rFonts w:ascii="Tahoma" w:hAnsi="Tahoma" w:cs="Tahoma"/>
          <w:sz w:val="18"/>
          <w:szCs w:val="18"/>
          <w:lang w:val="ru-RU"/>
        </w:rPr>
        <w:t>%.</w:t>
      </w:r>
    </w:p>
    <w:p w:rsidR="00F04921" w:rsidRPr="00FE5BF0" w:rsidRDefault="00F04921" w:rsidP="008F0D74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FE5BF0">
        <w:rPr>
          <w:rFonts w:ascii="Tahoma" w:hAnsi="Tahoma" w:cs="Tahoma"/>
          <w:sz w:val="18"/>
          <w:szCs w:val="18"/>
          <w:lang w:val="sr-Latn-BA" w:eastAsia="sr-Latn-BA"/>
        </w:rPr>
        <w:t>У земљама из окружења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забиљежене су сљедеће стопе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реалног раста бруто домаћег производа за четврто тромјесечје 2011. године у односу на исто тромјесечје 2010. године и то:</w:t>
      </w:r>
      <w:r w:rsidR="0049311E" w:rsidRPr="0049311E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49311E" w:rsidRPr="00FE5BF0">
        <w:rPr>
          <w:rFonts w:ascii="Tahoma" w:hAnsi="Tahoma" w:cs="Tahoma"/>
          <w:sz w:val="18"/>
          <w:szCs w:val="18"/>
          <w:lang w:val="sr-Cyrl-CS" w:eastAsia="sr-Latn-BA"/>
        </w:rPr>
        <w:t>Словенија (-2,8%)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49311E"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и </w:t>
      </w:r>
      <w:r w:rsidR="0049311E">
        <w:rPr>
          <w:rFonts w:ascii="Tahoma" w:hAnsi="Tahoma" w:cs="Tahoma"/>
          <w:sz w:val="18"/>
          <w:szCs w:val="18"/>
          <w:lang w:val="sr-Cyrl-CS" w:eastAsia="sr-Latn-BA"/>
        </w:rPr>
        <w:t xml:space="preserve">према првој процјени </w:t>
      </w:r>
      <w:r w:rsidR="008F0D74" w:rsidRPr="00FE5BF0">
        <w:rPr>
          <w:rFonts w:ascii="Tahoma" w:hAnsi="Tahoma" w:cs="Tahoma"/>
          <w:sz w:val="18"/>
          <w:szCs w:val="18"/>
          <w:lang w:val="sr-Cyrl-CS" w:eastAsia="sr-Latn-BA"/>
        </w:rPr>
        <w:t>Србија 0,8%, Хрватска (-0,2%)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. </w:t>
      </w:r>
    </w:p>
    <w:p w:rsidR="00F04921" w:rsidRPr="00FE5BF0" w:rsidRDefault="00F04921" w:rsidP="008F0D74">
      <w:pPr>
        <w:spacing w:after="120"/>
        <w:rPr>
          <w:rFonts w:ascii="Tahoma" w:hAnsi="Tahoma" w:cs="Tahoma"/>
          <w:lang w:val="sr-Cyrl-CS"/>
        </w:rPr>
      </w:pPr>
    </w:p>
    <w:p w:rsidR="00FB6D41" w:rsidRPr="00FE5BF0" w:rsidRDefault="00F04921" w:rsidP="00F04921">
      <w:pPr>
        <w:jc w:val="center"/>
        <w:rPr>
          <w:rFonts w:ascii="Calibri" w:hAnsi="Calibri"/>
          <w:sz w:val="18"/>
          <w:szCs w:val="18"/>
          <w:lang w:eastAsia="sr-Latn-BA"/>
        </w:rPr>
      </w:pPr>
      <w:r w:rsidRPr="00FE5BF0">
        <w:rPr>
          <w:rFonts w:ascii="Calibri" w:hAnsi="Calibri"/>
          <w:noProof/>
          <w:sz w:val="18"/>
          <w:szCs w:val="18"/>
        </w:rPr>
        <w:drawing>
          <wp:inline distT="0" distB="0" distL="0" distR="0">
            <wp:extent cx="4723075" cy="3156668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4921" w:rsidRPr="00FE5BF0" w:rsidRDefault="00F04921" w:rsidP="00F04921">
      <w:pPr>
        <w:jc w:val="center"/>
        <w:rPr>
          <w:rFonts w:ascii="Tahoma" w:hAnsi="Tahoma" w:cs="Tahoma"/>
          <w:sz w:val="18"/>
          <w:szCs w:val="18"/>
          <w:lang w:eastAsia="sr-Latn-BA"/>
        </w:rPr>
      </w:pPr>
    </w:p>
    <w:p w:rsidR="00F04921" w:rsidRPr="00FE5BF0" w:rsidRDefault="00F04921" w:rsidP="00F04921">
      <w:pPr>
        <w:jc w:val="center"/>
        <w:rPr>
          <w:rFonts w:ascii="Tahoma" w:hAnsi="Tahoma" w:cs="Tahoma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CS" w:eastAsia="sr-Latn-BA"/>
        </w:rPr>
        <w:t>Графикон 1</w:t>
      </w:r>
      <w:r w:rsidRPr="00FE5BF0">
        <w:rPr>
          <w:rFonts w:ascii="Calibri" w:hAnsi="Calibri"/>
          <w:sz w:val="18"/>
          <w:szCs w:val="18"/>
          <w:lang w:eastAsia="sr-Latn-BA"/>
        </w:rPr>
        <w:t>.</w:t>
      </w:r>
      <w:r w:rsidRPr="00FE5BF0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>Стопе реалног раста</w:t>
      </w:r>
      <w:r w:rsidRPr="00FE5BF0">
        <w:rPr>
          <w:rFonts w:ascii="Tahoma" w:hAnsi="Tahoma" w:cs="Tahoma"/>
          <w:sz w:val="18"/>
          <w:szCs w:val="18"/>
          <w:lang w:eastAsia="sr-Latn-BA"/>
        </w:rPr>
        <w:t xml:space="preserve"> БДП,</w:t>
      </w:r>
      <w:r w:rsidRPr="00FE5BF0">
        <w:rPr>
          <w:rFonts w:ascii="Tahoma" w:hAnsi="Tahoma" w:cs="Tahoma"/>
          <w:sz w:val="18"/>
          <w:szCs w:val="18"/>
          <w:lang w:val="sr-Cyrl-CS" w:eastAsia="sr-Latn-BA"/>
        </w:rPr>
        <w:t xml:space="preserve"> п</w:t>
      </w:r>
      <w:r w:rsidRPr="00FE5BF0">
        <w:rPr>
          <w:rFonts w:ascii="Tahoma" w:hAnsi="Tahoma" w:cs="Tahoma"/>
          <w:sz w:val="18"/>
          <w:szCs w:val="18"/>
          <w:lang w:val="sr-Latn-BA" w:eastAsia="sr-Latn-BA"/>
        </w:rPr>
        <w:t>ромјене у односу на исто тромјесечје претходне године</w:t>
      </w:r>
    </w:p>
    <w:p w:rsidR="00F04921" w:rsidRPr="00FE5BF0" w:rsidRDefault="00F04921" w:rsidP="00F04921">
      <w:pPr>
        <w:jc w:val="center"/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 w:rsidP="00860DF8">
      <w:pPr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>
      <w:pPr>
        <w:rPr>
          <w:rFonts w:ascii="Tahoma" w:hAnsi="Tahoma" w:cs="Tahoma"/>
          <w:b/>
          <w:sz w:val="28"/>
          <w:szCs w:val="28"/>
          <w:lang w:val="sr-Cyrl-CS"/>
        </w:rPr>
      </w:pPr>
      <w:r w:rsidRPr="00FE5BF0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B32263" w:rsidRPr="00FE5BF0" w:rsidRDefault="00B32263" w:rsidP="008F0D74">
      <w:pPr>
        <w:spacing w:after="120"/>
        <w:rPr>
          <w:rFonts w:ascii="Tahoma" w:hAnsi="Tahoma" w:cs="Tahoma"/>
          <w:b/>
          <w:sz w:val="28"/>
          <w:szCs w:val="28"/>
        </w:rPr>
      </w:pPr>
      <w:r w:rsidRPr="00FE5BF0">
        <w:rPr>
          <w:rFonts w:ascii="Tahoma" w:hAnsi="Tahoma" w:cs="Tahoma"/>
          <w:b/>
          <w:sz w:val="28"/>
          <w:szCs w:val="28"/>
          <w:lang w:val="sr-Cyrl-CS"/>
        </w:rPr>
        <w:lastRenderedPageBreak/>
        <w:t>Просјечн</w:t>
      </w:r>
      <w:r w:rsidRPr="00FE5BF0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FE5BF0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фебруару 821</w:t>
      </w:r>
      <w:r w:rsidRPr="00FE5BF0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B32263" w:rsidRPr="00FE5BF0" w:rsidRDefault="00B32263" w:rsidP="008F0D74">
      <w:pPr>
        <w:tabs>
          <w:tab w:val="left" w:pos="4343"/>
        </w:tabs>
        <w:spacing w:after="120"/>
        <w:jc w:val="both"/>
        <w:rPr>
          <w:rFonts w:ascii="Tahoma" w:hAnsi="Tahoma" w:cs="Tahoma"/>
          <w:sz w:val="24"/>
          <w:szCs w:val="24"/>
        </w:rPr>
      </w:pPr>
      <w:r w:rsidRPr="00FE5BF0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FE5BF0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FE5BF0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FE5BF0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FE5BF0">
        <w:rPr>
          <w:rFonts w:ascii="Tahoma" w:hAnsi="Tahoma" w:cs="Tahoma"/>
          <w:sz w:val="24"/>
          <w:szCs w:val="24"/>
          <w:lang w:val="sr-Cyrl-CS"/>
        </w:rPr>
        <w:t>240</w:t>
      </w:r>
      <w:r w:rsidRPr="00FE5BF0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FE5BF0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FE5BF0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FE5BF0">
        <w:rPr>
          <w:rFonts w:ascii="Tahoma" w:hAnsi="Tahoma" w:cs="Tahoma"/>
          <w:sz w:val="24"/>
          <w:szCs w:val="24"/>
          <w:lang w:val="sr-Cyrl-CS"/>
        </w:rPr>
        <w:t xml:space="preserve"> 559 КМ</w:t>
      </w:r>
    </w:p>
    <w:p w:rsidR="00B32263" w:rsidRPr="00FE5BF0" w:rsidRDefault="00B32263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FE5BF0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FE5BF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исплаћена у фебруару 2012.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FE5BF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821 КМ</w:t>
      </w:r>
      <w:r w:rsidRPr="00FE5BF0">
        <w:rPr>
          <w:rFonts w:ascii="Tahoma" w:hAnsi="Tahoma" w:cs="Tahoma"/>
          <w:sz w:val="18"/>
          <w:szCs w:val="18"/>
          <w:lang w:val="hr-HR"/>
        </w:rPr>
        <w:t>,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FE5BF0">
        <w:rPr>
          <w:rFonts w:ascii="Tahoma" w:hAnsi="Tahoma" w:cs="Tahoma"/>
          <w:sz w:val="18"/>
          <w:szCs w:val="18"/>
          <w:lang w:val="sr-Cyrl-CS"/>
        </w:rPr>
        <w:t>росјечна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1 354 КМ. </w:t>
      </w:r>
    </w:p>
    <w:p w:rsidR="00B32263" w:rsidRPr="00FE5BF0" w:rsidRDefault="00B32263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фебруару 2012. године у односу на јануар 2012. године већа је номинално за 0,3% а реално је мања за 0,3%. У односу на просјечну нето плату у 2011. години, просјечна нето плата у фебруару 2012. године  већа је номинално за 1,5%, а реално мања за 0,9%. У фебруару 2012. године у односу на исти мјесец прошле године просјечна нето плата номинално већа је за </w:t>
      </w:r>
      <w:r w:rsidRPr="00FE5BF0">
        <w:rPr>
          <w:rFonts w:ascii="Tahoma" w:hAnsi="Tahoma" w:cs="Tahoma"/>
          <w:sz w:val="18"/>
          <w:szCs w:val="18"/>
        </w:rPr>
        <w:t>2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,1%, а </w:t>
      </w:r>
      <w:r w:rsidRPr="00FE5BF0">
        <w:rPr>
          <w:rFonts w:ascii="Tahoma" w:hAnsi="Tahoma" w:cs="Tahoma"/>
          <w:sz w:val="18"/>
          <w:szCs w:val="18"/>
          <w:lang w:val="sr-Cyrl-BA"/>
        </w:rPr>
        <w:t>реално је мања за 0,3%.</w:t>
      </w:r>
    </w:p>
    <w:p w:rsidR="00B32263" w:rsidRPr="00FE5BF0" w:rsidRDefault="00B32263" w:rsidP="008F0D74">
      <w:pPr>
        <w:tabs>
          <w:tab w:val="left" w:pos="1134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фебруару 2012. године, посматрано по подручјима дјелатности, исплаћена је у подручју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и износи 1 240 КМ, а најнижа у подручју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559 КМ.</w:t>
      </w:r>
    </w:p>
    <w:p w:rsidR="00B32263" w:rsidRPr="00FE5BF0" w:rsidRDefault="00B32263" w:rsidP="008F0D74">
      <w:pPr>
        <w:spacing w:after="12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 xml:space="preserve">У фебруару 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2012. године, у односу на </w:t>
      </w:r>
      <w:r w:rsidRPr="00FE5BF0">
        <w:rPr>
          <w:rFonts w:ascii="Tahoma" w:hAnsi="Tahoma" w:cs="Tahoma"/>
          <w:sz w:val="18"/>
          <w:szCs w:val="18"/>
          <w:lang w:val="sr-Cyrl-CS"/>
        </w:rPr>
        <w:t>јануар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2012. године, н</w:t>
      </w:r>
      <w:r w:rsidRPr="00FE5BF0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Саобраћај, складиштење и комуникације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за 25,3%,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7,5% и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Рибарство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4,7%,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Пољопривреда, лов и шумарство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5,6%,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Грађевинарство </w:t>
      </w:r>
      <w:r w:rsidRPr="00FE5BF0">
        <w:rPr>
          <w:rFonts w:ascii="Tahoma" w:hAnsi="Tahoma" w:cs="Tahoma"/>
          <w:sz w:val="18"/>
          <w:szCs w:val="18"/>
          <w:lang w:val="sr-Cyrl-CS"/>
        </w:rPr>
        <w:t>за 5,5%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 xml:space="preserve"> и Образовање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3,2%.</w:t>
      </w:r>
    </w:p>
    <w:p w:rsidR="0076086A" w:rsidRPr="00FE5BF0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FE5BF0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FE5BF0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FE5BF0" w:rsidRDefault="00BC28BC" w:rsidP="00B32263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BC28BC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12.65pt;margin-top:9.85pt;width:41.05pt;height:27.75pt;z-index:251659264;mso-width-relative:margin;mso-height-relative:margin" stroked="f">
            <v:textbox style="mso-next-textbox:#_x0000_s1063">
              <w:txbxContent>
                <w:p w:rsidR="00FE5BF0" w:rsidRPr="00B32263" w:rsidRDefault="00FE5BF0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Pr="00BC28BC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58.3pt;margin-top:204.55pt;width:195.4pt;height:23.95pt;z-index:251669504;mso-width-relative:margin;mso-height-relative:margin" strokecolor="white [3212]">
            <v:textbox>
              <w:txbxContent>
                <w:p w:rsidR="00FE5BF0" w:rsidRPr="00297CBC" w:rsidRDefault="00FE5BF0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   2012.</w:t>
                  </w:r>
                </w:p>
              </w:txbxContent>
            </v:textbox>
          </v:shape>
        </w:pict>
      </w:r>
      <w:r w:rsidR="00B32263" w:rsidRPr="00FE5BF0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61834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C28BC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FE5BF0" w:rsidRPr="00860DF8" w:rsidRDefault="00FE5BF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FE5BF0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FE5BF0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FE5BF0" w:rsidRDefault="000328B8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FE5BF0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>.</w:t>
      </w:r>
      <w:r w:rsidR="005E0301"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FE5BF0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FE5BF0">
        <w:rPr>
          <w:rFonts w:ascii="Tahoma" w:hAnsi="Tahoma" w:cs="Tahoma"/>
          <w:sz w:val="18"/>
          <w:szCs w:val="18"/>
        </w:rPr>
        <w:t>e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FE5BF0">
        <w:rPr>
          <w:rFonts w:ascii="Tahoma" w:hAnsi="Tahoma" w:cs="Tahoma"/>
          <w:sz w:val="18"/>
          <w:szCs w:val="18"/>
        </w:rPr>
        <w:t>e</w:t>
      </w:r>
      <w:r w:rsidR="005E0301" w:rsidRPr="00FE5BF0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FE5BF0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FE5BF0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FE5BF0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FE5BF0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FE5BF0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F04921" w:rsidRPr="00FE5BF0" w:rsidRDefault="00F04921" w:rsidP="00F04921">
      <w:pPr>
        <w:rPr>
          <w:rFonts w:ascii="Tahoma" w:hAnsi="Tahoma" w:cs="Tahoma"/>
          <w:b/>
          <w:sz w:val="28"/>
          <w:szCs w:val="28"/>
          <w:lang w:val="sr-Cyrl-BA"/>
        </w:rPr>
      </w:pPr>
      <w:r w:rsidRPr="00FE5BF0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фебруару 2012. године 0,6%</w:t>
      </w:r>
    </w:p>
    <w:p w:rsidR="00F04921" w:rsidRPr="00FE5BF0" w:rsidRDefault="00F04921" w:rsidP="00F04921">
      <w:pPr>
        <w:rPr>
          <w:rFonts w:ascii="Tahoma" w:hAnsi="Tahoma" w:cs="Tahoma"/>
          <w:b/>
          <w:sz w:val="28"/>
          <w:szCs w:val="28"/>
          <w:lang w:val="sr-Cyrl-BA"/>
        </w:rPr>
      </w:pPr>
      <w:r w:rsidRPr="00FE5BF0">
        <w:rPr>
          <w:rFonts w:ascii="Tahoma" w:hAnsi="Tahoma" w:cs="Tahoma"/>
          <w:b/>
          <w:sz w:val="28"/>
          <w:szCs w:val="28"/>
          <w:lang w:val="sr-Cyrl-BA"/>
        </w:rPr>
        <w:t>Годишња</w:t>
      </w:r>
      <w:r w:rsidR="00BD581E" w:rsidRPr="00FE5BF0">
        <w:rPr>
          <w:rFonts w:ascii="Tahoma" w:hAnsi="Tahoma" w:cs="Tahoma"/>
          <w:b/>
          <w:sz w:val="28"/>
          <w:szCs w:val="28"/>
          <w:lang w:val="sr-Cyrl-BA"/>
        </w:rPr>
        <w:t xml:space="preserve"> инфлација (фебруар 2012/</w:t>
      </w:r>
      <w:r w:rsidRPr="00FE5BF0">
        <w:rPr>
          <w:rFonts w:ascii="Tahoma" w:hAnsi="Tahoma" w:cs="Tahoma"/>
          <w:b/>
          <w:sz w:val="28"/>
          <w:szCs w:val="28"/>
          <w:lang w:val="sr-Cyrl-BA"/>
        </w:rPr>
        <w:t>фебруар 2011) 2,4%</w:t>
      </w:r>
    </w:p>
    <w:p w:rsidR="00F04921" w:rsidRPr="00FE5BF0" w:rsidRDefault="00F04921" w:rsidP="00F04921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F04921" w:rsidRPr="00FE5BF0" w:rsidRDefault="00F04921" w:rsidP="008F0D74">
      <w:pPr>
        <w:pStyle w:val="Body2"/>
        <w:tabs>
          <w:tab w:val="left" w:pos="720"/>
        </w:tabs>
        <w:spacing w:after="120"/>
        <w:ind w:firstLine="0"/>
        <w:rPr>
          <w:rFonts w:ascii="Tahoma" w:hAnsi="Tahoma" w:cs="Tahoma"/>
        </w:rPr>
      </w:pPr>
      <w:r w:rsidRPr="00FE5BF0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фебруару 2012. године у односу на јануар 2012. године, више су у просјеку за 0,6%.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i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Забиљежен је раст код 6 од укупно 12 одјељака. Највећи утицај на укупан раст цијена у фебруару имало је повећање цијена у одјељцима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Превоз и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Највеће повећање забиљежено је у одјељку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Превоз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1,3% и то у подгрупи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Горива и мазива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2,5% због повећања цијена свих врста горива. </w:t>
      </w:r>
    </w:p>
    <w:p w:rsidR="00F04921" w:rsidRPr="00FE5BF0" w:rsidRDefault="00F04921" w:rsidP="008F0D74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на раст цијена од 1,2%, гдје група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Храна </w:t>
      </w:r>
      <w:r w:rsidRPr="00FE5BF0">
        <w:rPr>
          <w:rFonts w:ascii="Tahoma" w:hAnsi="Tahoma" w:cs="Tahoma"/>
          <w:sz w:val="18"/>
          <w:szCs w:val="18"/>
          <w:lang w:val="sr-Cyrl-BA"/>
        </w:rPr>
        <w:t>биљежи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раст 1,4%</w:t>
      </w:r>
      <w:r w:rsidR="00171709" w:rsidRPr="00FE5BF0">
        <w:rPr>
          <w:rFonts w:ascii="Tahoma" w:hAnsi="Tahoma" w:cs="Tahoma"/>
          <w:sz w:val="18"/>
          <w:szCs w:val="18"/>
        </w:rPr>
        <w:t>,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највећи утицај је имало повећање цијена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Воћа </w:t>
      </w:r>
      <w:r w:rsidRPr="00FE5BF0">
        <w:rPr>
          <w:rFonts w:ascii="Tahoma" w:hAnsi="Tahoma" w:cs="Tahoma"/>
          <w:sz w:val="18"/>
          <w:szCs w:val="18"/>
          <w:lang w:val="sr-Cyrl-BA"/>
        </w:rPr>
        <w:t>11,3% и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Поврћа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3,8% усљед се</w:t>
      </w:r>
      <w:proofErr w:type="spellStart"/>
      <w:r w:rsidR="00171709" w:rsidRPr="00FE5BF0">
        <w:rPr>
          <w:rFonts w:ascii="Tahoma" w:hAnsi="Tahoma" w:cs="Tahoma"/>
          <w:sz w:val="18"/>
          <w:szCs w:val="18"/>
        </w:rPr>
        <w:t>зо</w:t>
      </w:r>
      <w:proofErr w:type="spellEnd"/>
      <w:r w:rsidRPr="00FE5BF0">
        <w:rPr>
          <w:rFonts w:ascii="Tahoma" w:hAnsi="Tahoma" w:cs="Tahoma"/>
          <w:sz w:val="18"/>
          <w:szCs w:val="18"/>
          <w:lang w:val="sr-Cyrl-BA"/>
        </w:rPr>
        <w:t xml:space="preserve">нског утицаја цијена воћа и поврћа, затим повећање цијена у подгрупи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Млијеко, сир и јаја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1,0% због повећања цијена јаја </w:t>
      </w:r>
      <w:proofErr w:type="spellStart"/>
      <w:r w:rsidR="008F0D74" w:rsidRPr="00FE5BF0">
        <w:rPr>
          <w:rFonts w:ascii="Tahoma" w:hAnsi="Tahoma" w:cs="Tahoma"/>
          <w:sz w:val="18"/>
          <w:szCs w:val="18"/>
        </w:rPr>
        <w:t>за</w:t>
      </w:r>
      <w:proofErr w:type="spellEnd"/>
      <w:r w:rsidR="008F0D74"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5,1% и меких сирева </w:t>
      </w:r>
      <w:r w:rsidR="008F0D74" w:rsidRPr="00FE5BF0">
        <w:rPr>
          <w:rFonts w:ascii="Tahoma" w:hAnsi="Tahoma" w:cs="Tahoma"/>
          <w:sz w:val="18"/>
          <w:szCs w:val="18"/>
          <w:lang w:val="sr-Cyrl-BA"/>
        </w:rPr>
        <w:t xml:space="preserve">за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1,0%, као и повећање цијена у подгрупи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Риба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због поскупљења конзервисане и прерађене рибе за 2,2% и свјеже и смрзнуте рибе за 0,6%. На групу Храна је утицало и повећање цијена у подгрупи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Остали прехрамбени производи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0,6% усљед поскупљења зачина, додатака прехрани и соли за 1,0%. </w:t>
      </w:r>
      <w:r w:rsidRPr="00FE5BF0">
        <w:rPr>
          <w:rFonts w:ascii="Tahoma" w:eastAsia="Calibri" w:hAnsi="Tahoma" w:cs="Tahoma"/>
          <w:sz w:val="18"/>
          <w:szCs w:val="18"/>
          <w:lang w:val="sr-Cyrl-BA"/>
        </w:rPr>
        <w:t xml:space="preserve">У групи </w:t>
      </w:r>
      <w:r w:rsidRPr="00FE5BF0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FE5BF0">
        <w:rPr>
          <w:rFonts w:ascii="Tahoma" w:eastAsia="Calibri" w:hAnsi="Tahoma" w:cs="Tahoma"/>
          <w:sz w:val="18"/>
          <w:szCs w:val="18"/>
          <w:lang w:val="sr-Cyrl-BA"/>
        </w:rPr>
        <w:t>цијене су у просјеку више за 0,1%, иако кафа биљежи пад цијена за 0,4%, због више цијене чаја за 1,7%, минералне воде 0,9% и газираних безалкохолних пића 1,0%.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Индекс одјељка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Становање </w:t>
      </w:r>
      <w:r w:rsidRPr="00FE5BF0">
        <w:rPr>
          <w:rFonts w:ascii="Tahoma" w:hAnsi="Tahoma" w:cs="Tahoma"/>
          <w:sz w:val="18"/>
          <w:szCs w:val="18"/>
          <w:lang w:val="sr-Cyrl-BA"/>
        </w:rPr>
        <w:t>биљежи раст цијена 0,3% због повећања цијене лож уља 1,5% и огревног дрвета 1,4%.</w:t>
      </w:r>
    </w:p>
    <w:p w:rsidR="00F04921" w:rsidRPr="00FE5BF0" w:rsidRDefault="00F04921" w:rsidP="008F0D74">
      <w:pPr>
        <w:spacing w:after="120"/>
        <w:jc w:val="both"/>
        <w:rPr>
          <w:rFonts w:ascii="Tahoma" w:eastAsia="Calibri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>У одјељку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 </w:t>
      </w:r>
      <w:r w:rsidRPr="00FE5BF0">
        <w:rPr>
          <w:rFonts w:ascii="Tahoma" w:hAnsi="Tahoma" w:cs="Tahoma"/>
          <w:sz w:val="18"/>
          <w:szCs w:val="18"/>
          <w:lang w:val="sr-Cyrl-BA"/>
        </w:rPr>
        <w:t>забиљежен је раст цијена 0,2% усљед повећања цијена вина 1,2% и пива 0,9%.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И одјељак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биљежи раст цијена 0,2% због повећања цијена производа и услуга за чишћење и одржавање куће за 0,4%.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Остала добра и услуге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имао је раст цијена 0,1% због повећања цијена производа за одржавање личне хигијене за 1,4%.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У одјељцима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Рекреација и култура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Образовањ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е и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цијене су у просјеку остале исте.</w:t>
      </w:r>
    </w:p>
    <w:p w:rsidR="00F04921" w:rsidRPr="00FE5BF0" w:rsidRDefault="00F04921" w:rsidP="008F0D74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У одјељку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забиљежен је пад цијена од 0,3% усљед сезонских снижења одјеће и обуће. </w:t>
      </w:r>
    </w:p>
    <w:p w:rsidR="008F0D74" w:rsidRPr="00FE5BF0" w:rsidRDefault="00F04921" w:rsidP="008F0D74">
      <w:pPr>
        <w:spacing w:after="120" w:line="276" w:lineRule="auto"/>
        <w:jc w:val="both"/>
        <w:rPr>
          <w:rFonts w:ascii="Tahoma" w:hAnsi="Tahoma" w:cs="Tahoma"/>
          <w:sz w:val="18"/>
          <w:szCs w:val="18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FE5BF0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фебруару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2012. </w:t>
      </w:r>
      <w:r w:rsidRPr="00FE5BF0">
        <w:rPr>
          <w:rFonts w:ascii="Tahoma" w:hAnsi="Tahoma" w:cs="Tahoma"/>
          <w:sz w:val="18"/>
          <w:szCs w:val="18"/>
          <w:lang w:val="sr-Cyrl-BA"/>
        </w:rPr>
        <w:t>године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FE5BF0">
        <w:rPr>
          <w:rFonts w:ascii="Tahoma" w:hAnsi="Tahoma" w:cs="Tahoma"/>
          <w:sz w:val="18"/>
          <w:szCs w:val="18"/>
          <w:lang w:val="sr-Cyrl-BA"/>
        </w:rPr>
        <w:t>године,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за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2,4%.</w:t>
      </w:r>
    </w:p>
    <w:p w:rsidR="00F04921" w:rsidRPr="00FE5BF0" w:rsidRDefault="00F04921" w:rsidP="008F0D74">
      <w:pPr>
        <w:spacing w:after="12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E230C3">
        <w:rPr>
          <w:rFonts w:ascii="Tahoma" w:hAnsi="Tahoma" w:cs="Tahoma"/>
          <w:sz w:val="18"/>
          <w:szCs w:val="18"/>
          <w:lang w:val="sr-Cyrl-BA"/>
        </w:rPr>
        <w:t>фебруару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2012. године у односу на </w:t>
      </w:r>
      <w:r w:rsidR="00E230C3">
        <w:rPr>
          <w:rFonts w:ascii="Tahoma" w:hAnsi="Tahoma" w:cs="Tahoma"/>
          <w:sz w:val="18"/>
          <w:szCs w:val="18"/>
          <w:lang w:val="sr-Cyrl-BA"/>
        </w:rPr>
        <w:t>фебруар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2011. го</w:t>
      </w:r>
      <w:r w:rsidR="00B05F0D" w:rsidRPr="00FE5BF0">
        <w:rPr>
          <w:rFonts w:ascii="Tahoma" w:hAnsi="Tahoma" w:cs="Tahoma"/>
          <w:sz w:val="18"/>
          <w:szCs w:val="18"/>
          <w:lang w:val="sr-Cyrl-BA"/>
        </w:rPr>
        <w:t>дине, највиши раст забиљежен је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код одјељка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8,9%,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затим слиједе индекси одјељака: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7,2%,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Комуникације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4,2%,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2,2%</w:t>
      </w:r>
      <w:r w:rsidRPr="00FE5BF0">
        <w:rPr>
          <w:rFonts w:ascii="Tahoma" w:hAnsi="Tahoma" w:cs="Tahoma"/>
          <w:sz w:val="18"/>
          <w:szCs w:val="18"/>
          <w:lang w:val="sr-Cyrl-BA"/>
        </w:rPr>
        <w:t>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2,1%,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1,7%,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за 0,6%,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Образовање </w:t>
      </w:r>
      <w:r w:rsidRPr="00FE5BF0">
        <w:rPr>
          <w:rFonts w:ascii="Tahoma" w:hAnsi="Tahoma" w:cs="Tahoma"/>
          <w:sz w:val="18"/>
          <w:szCs w:val="18"/>
          <w:lang w:val="sr-Cyrl-BA"/>
        </w:rPr>
        <w:t>0,1%.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>Индекс одјељка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Остала добра </w:t>
      </w:r>
      <w:r w:rsidRPr="00FE5BF0">
        <w:rPr>
          <w:rFonts w:ascii="Tahoma" w:hAnsi="Tahoma" w:cs="Tahoma"/>
          <w:sz w:val="18"/>
          <w:szCs w:val="18"/>
          <w:lang w:val="sr-Cyrl-BA"/>
        </w:rPr>
        <w:t>и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нижи је за 0,1%, индекс одјељка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Рекрација и култура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нижи је за 0,2%, индекс одјељка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Здравство </w:t>
      </w:r>
      <w:r w:rsidRPr="00FE5BF0">
        <w:rPr>
          <w:rFonts w:ascii="Tahoma" w:hAnsi="Tahoma" w:cs="Tahoma"/>
          <w:sz w:val="18"/>
          <w:szCs w:val="18"/>
          <w:lang w:val="sr-Cyrl-BA"/>
        </w:rPr>
        <w:t>нижи је за 1,3%,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FE5BF0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нижи за 3,9%.</w:t>
      </w:r>
    </w:p>
    <w:p w:rsidR="00F04921" w:rsidRPr="00FE5BF0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F04921" w:rsidRPr="00FE5BF0" w:rsidRDefault="00F04921" w:rsidP="00860DF8">
      <w:pPr>
        <w:jc w:val="both"/>
        <w:rPr>
          <w:rFonts w:ascii="Tahoma" w:hAnsi="Tahoma" w:cs="Tahoma"/>
          <w:b/>
          <w:sz w:val="28"/>
          <w:szCs w:val="28"/>
        </w:rPr>
      </w:pPr>
    </w:p>
    <w:p w:rsidR="00693032" w:rsidRPr="00FE5BF0" w:rsidRDefault="00693032" w:rsidP="00693032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FE5BF0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FE5BF0">
        <w:rPr>
          <w:rFonts w:ascii="Tahoma" w:hAnsi="Tahoma" w:cs="Tahoma"/>
          <w:b/>
          <w:sz w:val="28"/>
          <w:szCs w:val="28"/>
        </w:rPr>
        <w:t>II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FE5BF0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FE5BF0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FE5BF0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FE5BF0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Pr="00FE5BF0">
        <w:rPr>
          <w:rFonts w:ascii="Tahoma" w:hAnsi="Tahoma" w:cs="Tahoma"/>
          <w:b/>
          <w:sz w:val="28"/>
          <w:szCs w:val="28"/>
          <w:lang w:val="sr-Latn-CS"/>
        </w:rPr>
        <w:t>4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693032" w:rsidRPr="00FE5BF0" w:rsidRDefault="00693032" w:rsidP="00693032">
      <w:pPr>
        <w:jc w:val="both"/>
        <w:rPr>
          <w:rFonts w:ascii="Tahoma" w:hAnsi="Tahoma" w:cs="Tahoma"/>
          <w:lang w:val="sr-Cyrl-CS"/>
        </w:rPr>
      </w:pPr>
    </w:p>
    <w:p w:rsidR="00693032" w:rsidRPr="00FE5BF0" w:rsidRDefault="00693032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>Цијен</w:t>
      </w:r>
      <w:r w:rsidRPr="00FE5BF0">
        <w:rPr>
          <w:rFonts w:ascii="Tahoma" w:hAnsi="Tahoma" w:cs="Tahoma"/>
          <w:sz w:val="18"/>
          <w:szCs w:val="18"/>
        </w:rPr>
        <w:t>e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FE5BF0">
        <w:rPr>
          <w:rFonts w:ascii="Tahoma" w:hAnsi="Tahoma" w:cs="Tahoma"/>
          <w:sz w:val="18"/>
          <w:szCs w:val="18"/>
        </w:rPr>
        <w:t xml:space="preserve">a </w:t>
      </w:r>
      <w:r w:rsidRPr="00FE5BF0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фебруару </w:t>
      </w:r>
      <w:r w:rsidRPr="00FE5BF0">
        <w:rPr>
          <w:rFonts w:ascii="Tahoma" w:hAnsi="Tahoma" w:cs="Tahoma"/>
          <w:sz w:val="18"/>
          <w:szCs w:val="18"/>
          <w:lang w:val="hr-HR"/>
        </w:rPr>
        <w:t>20</w:t>
      </w:r>
      <w:r w:rsidRPr="00FE5BF0">
        <w:rPr>
          <w:rFonts w:ascii="Tahoma" w:hAnsi="Tahoma" w:cs="Tahoma"/>
          <w:sz w:val="18"/>
          <w:szCs w:val="18"/>
          <w:lang w:val="sr-Cyrl-CS"/>
        </w:rPr>
        <w:t>12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FE5BF0">
        <w:rPr>
          <w:rFonts w:ascii="Tahoma" w:hAnsi="Tahoma" w:cs="Tahoma"/>
          <w:sz w:val="18"/>
          <w:szCs w:val="18"/>
          <w:lang w:val="hr-HR"/>
        </w:rPr>
        <w:t>у односу 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јануар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hr-HR"/>
        </w:rPr>
        <w:t>201</w:t>
      </w:r>
      <w:r w:rsidRPr="00FE5BF0">
        <w:rPr>
          <w:rFonts w:ascii="Tahoma" w:hAnsi="Tahoma" w:cs="Tahoma"/>
          <w:sz w:val="18"/>
          <w:szCs w:val="18"/>
          <w:lang w:val="sr-Cyrl-CS"/>
        </w:rPr>
        <w:t>2</w:t>
      </w:r>
      <w:r w:rsidRPr="00FE5BF0">
        <w:rPr>
          <w:rFonts w:ascii="Tahoma" w:hAnsi="Tahoma" w:cs="Tahoma"/>
          <w:sz w:val="18"/>
          <w:szCs w:val="18"/>
          <w:lang w:val="hr-HR"/>
        </w:rPr>
        <w:t>.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</w:t>
      </w:r>
      <w:r w:rsidRPr="00FE5BF0">
        <w:rPr>
          <w:rFonts w:ascii="Tahoma" w:hAnsi="Tahoma" w:cs="Tahoma"/>
          <w:sz w:val="18"/>
          <w:szCs w:val="18"/>
          <w:lang w:val="sr-Latn-CS"/>
        </w:rPr>
        <w:t>4</w:t>
      </w:r>
      <w:r w:rsidRPr="00FE5BF0">
        <w:rPr>
          <w:rFonts w:ascii="Tahoma" w:hAnsi="Tahoma" w:cs="Tahoma"/>
          <w:sz w:val="18"/>
          <w:szCs w:val="18"/>
          <w:lang w:val="sr-Cyrl-CS"/>
        </w:rPr>
        <w:t>%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, </w:t>
      </w:r>
      <w:r w:rsidR="007C4DE9" w:rsidRPr="00FE5BF0">
        <w:rPr>
          <w:rFonts w:ascii="Tahoma" w:hAnsi="Tahoma" w:cs="Tahoma"/>
          <w:sz w:val="18"/>
          <w:szCs w:val="18"/>
          <w:lang w:val="sr-Cyrl-CS"/>
        </w:rPr>
        <w:t>и у односу фебруар 201</w:t>
      </w:r>
      <w:r w:rsidR="007C4DE9" w:rsidRPr="00FE5BF0">
        <w:rPr>
          <w:rFonts w:ascii="Tahoma" w:hAnsi="Tahoma" w:cs="Tahoma"/>
          <w:sz w:val="18"/>
          <w:szCs w:val="18"/>
        </w:rPr>
        <w:t>1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. године за </w:t>
      </w:r>
      <w:r w:rsidRPr="00FE5BF0">
        <w:rPr>
          <w:rFonts w:ascii="Tahoma" w:hAnsi="Tahoma" w:cs="Tahoma"/>
          <w:sz w:val="18"/>
          <w:szCs w:val="18"/>
          <w:lang w:val="sr-Latn-CS"/>
        </w:rPr>
        <w:t>0,3</w:t>
      </w:r>
      <w:r w:rsidRPr="00FE5BF0">
        <w:rPr>
          <w:rFonts w:ascii="Tahoma" w:hAnsi="Tahoma" w:cs="Tahoma"/>
          <w:sz w:val="18"/>
          <w:szCs w:val="18"/>
          <w:lang w:val="sr-Cyrl-CS"/>
        </w:rPr>
        <w:t>%.</w:t>
      </w:r>
    </w:p>
    <w:p w:rsidR="00693032" w:rsidRPr="00FE5BF0" w:rsidRDefault="00693032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hr-HR"/>
        </w:rPr>
        <w:t>Посматрано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FE5BF0">
        <w:rPr>
          <w:rFonts w:ascii="Tahoma" w:hAnsi="Tahoma" w:cs="Tahoma"/>
          <w:sz w:val="18"/>
          <w:szCs w:val="18"/>
          <w:lang w:val="hr-HR"/>
        </w:rPr>
        <w:t>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FE5BF0">
        <w:rPr>
          <w:rFonts w:ascii="Tahoma" w:hAnsi="Tahoma" w:cs="Tahoma"/>
          <w:sz w:val="18"/>
          <w:szCs w:val="18"/>
          <w:lang w:val="hr-HR"/>
        </w:rPr>
        <w:t>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фебруару </w:t>
      </w:r>
      <w:r w:rsidRPr="00FE5BF0">
        <w:rPr>
          <w:rFonts w:ascii="Tahoma" w:hAnsi="Tahoma" w:cs="Tahoma"/>
          <w:sz w:val="18"/>
          <w:szCs w:val="18"/>
          <w:lang w:val="hr-HR"/>
        </w:rPr>
        <w:t>20</w:t>
      </w:r>
      <w:r w:rsidRPr="00FE5BF0">
        <w:rPr>
          <w:rFonts w:ascii="Tahoma" w:hAnsi="Tahoma" w:cs="Tahoma"/>
          <w:sz w:val="18"/>
          <w:szCs w:val="18"/>
          <w:lang w:val="sr-Cyrl-CS"/>
        </w:rPr>
        <w:t>12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FE5BF0">
        <w:rPr>
          <w:rFonts w:ascii="Tahoma" w:hAnsi="Tahoma" w:cs="Tahoma"/>
          <w:sz w:val="18"/>
          <w:szCs w:val="18"/>
          <w:lang w:val="hr-HR"/>
        </w:rPr>
        <w:t>у односу 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јануар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hr-HR"/>
        </w:rPr>
        <w:t>201</w:t>
      </w:r>
      <w:r w:rsidRPr="00FE5BF0">
        <w:rPr>
          <w:rFonts w:ascii="Tahoma" w:hAnsi="Tahoma" w:cs="Tahoma"/>
          <w:sz w:val="18"/>
          <w:szCs w:val="18"/>
          <w:lang w:val="sr-Cyrl-CS"/>
        </w:rPr>
        <w:t>2. године цијене енергије у просјеку</w:t>
      </w:r>
      <w:r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су више</w:t>
      </w:r>
      <w:r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FE5BF0">
        <w:rPr>
          <w:rFonts w:ascii="Tahoma" w:hAnsi="Tahoma" w:cs="Tahoma"/>
          <w:sz w:val="18"/>
          <w:szCs w:val="18"/>
        </w:rPr>
        <w:t>6</w:t>
      </w:r>
      <w:r w:rsidRPr="00FE5BF0">
        <w:rPr>
          <w:rFonts w:ascii="Tahoma" w:hAnsi="Tahoma" w:cs="Tahoma"/>
          <w:sz w:val="18"/>
          <w:szCs w:val="18"/>
          <w:lang w:val="sr-Latn-CS"/>
        </w:rPr>
        <w:t>%</w:t>
      </w:r>
      <w:r w:rsidRPr="00FE5BF0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Pr="00FE5BF0">
        <w:rPr>
          <w:rFonts w:ascii="Tahoma" w:hAnsi="Tahoma" w:cs="Tahoma"/>
          <w:sz w:val="18"/>
          <w:szCs w:val="18"/>
          <w:lang w:val="sr-Latn-CS"/>
        </w:rPr>
        <w:t>0,4%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и цијене интермедијарних производа </w:t>
      </w:r>
      <w:r w:rsidRPr="00FE5BF0">
        <w:rPr>
          <w:rFonts w:ascii="Tahoma" w:hAnsi="Tahoma" w:cs="Tahoma"/>
          <w:sz w:val="18"/>
          <w:szCs w:val="18"/>
          <w:lang w:val="sr-Latn-CS"/>
        </w:rPr>
        <w:t>0,3%</w:t>
      </w:r>
      <w:r w:rsidRPr="00FE5BF0">
        <w:rPr>
          <w:rFonts w:ascii="Tahoma" w:hAnsi="Tahoma" w:cs="Tahoma"/>
          <w:sz w:val="18"/>
          <w:szCs w:val="18"/>
          <w:lang w:val="sr-Cyrl-CS"/>
        </w:rPr>
        <w:t>;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док су цијене капиталних прозвода као и цијене трајних производа за широку потрошњу у просјеку остале на истом нивоу.</w:t>
      </w:r>
    </w:p>
    <w:p w:rsidR="00693032" w:rsidRPr="00FE5BF0" w:rsidRDefault="00693032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>Цијене енергије, п</w:t>
      </w:r>
      <w:r w:rsidRPr="00FE5BF0">
        <w:rPr>
          <w:rFonts w:ascii="Tahoma" w:hAnsi="Tahoma" w:cs="Tahoma"/>
          <w:sz w:val="18"/>
          <w:szCs w:val="18"/>
          <w:lang w:val="hr-HR"/>
        </w:rPr>
        <w:t>осматрано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FE5BF0">
        <w:rPr>
          <w:rFonts w:ascii="Tahoma" w:hAnsi="Tahoma" w:cs="Tahoma"/>
          <w:sz w:val="18"/>
          <w:szCs w:val="18"/>
          <w:lang w:val="hr-HR"/>
        </w:rPr>
        <w:t>о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фебруару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FE5BF0">
        <w:rPr>
          <w:rFonts w:ascii="Tahoma" w:hAnsi="Tahoma" w:cs="Tahoma"/>
          <w:sz w:val="18"/>
          <w:szCs w:val="18"/>
          <w:lang w:val="sr-Cyrl-CS"/>
        </w:rPr>
        <w:t>12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FE5BF0">
        <w:rPr>
          <w:rFonts w:ascii="Tahoma" w:hAnsi="Tahoma" w:cs="Tahoma"/>
          <w:sz w:val="18"/>
          <w:szCs w:val="18"/>
          <w:lang w:val="hr-HR"/>
        </w:rPr>
        <w:t>у односу 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 2011. године, у просјеку</w:t>
      </w:r>
      <w:r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су више</w:t>
      </w:r>
      <w:r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 2,5%, цијене нетрајних производа за широку потрошњу за 2,1%, цијене капиталних прозвода за 0,3%, цијене интермедијарних производа у просјеку</w:t>
      </w:r>
      <w:r w:rsidRPr="00FE5BF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су ниже за 3,2%, док су цијене трајних производа за широку потрошњу у просјеку остале на истом нивоу.</w:t>
      </w:r>
    </w:p>
    <w:p w:rsidR="00693032" w:rsidRPr="00FE5BF0" w:rsidRDefault="00693032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FE5BF0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FE5BF0">
        <w:rPr>
          <w:rFonts w:ascii="Tahoma" w:hAnsi="Tahoma" w:cs="Tahoma"/>
          <w:sz w:val="18"/>
          <w:szCs w:val="18"/>
          <w:lang w:val="sr-Cyrl-CS"/>
        </w:rPr>
        <w:t>PRODCOM</w:t>
      </w:r>
      <w:r w:rsidRPr="00FE5BF0">
        <w:rPr>
          <w:rFonts w:ascii="Tahoma" w:hAnsi="Tahoma" w:cs="Tahoma"/>
          <w:sz w:val="18"/>
          <w:szCs w:val="18"/>
          <w:lang w:val="hr-HR"/>
        </w:rPr>
        <w:t>)</w:t>
      </w:r>
      <w:r w:rsidRPr="00FE5BF0">
        <w:rPr>
          <w:rFonts w:ascii="Tahoma" w:hAnsi="Tahoma" w:cs="Tahoma"/>
          <w:sz w:val="18"/>
          <w:szCs w:val="18"/>
          <w:lang w:val="sr-Cyrl-CS"/>
        </w:rPr>
        <w:t>,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(Ц)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FE5BF0">
        <w:rPr>
          <w:rFonts w:ascii="Tahoma" w:hAnsi="Tahoma" w:cs="Tahoma"/>
          <w:sz w:val="18"/>
          <w:szCs w:val="18"/>
        </w:rPr>
        <w:t>,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hr-HR"/>
        </w:rPr>
        <w:t>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фебруару </w:t>
      </w:r>
      <w:r w:rsidRPr="00FE5BF0">
        <w:rPr>
          <w:rFonts w:ascii="Tahoma" w:hAnsi="Tahoma" w:cs="Tahoma"/>
          <w:sz w:val="18"/>
          <w:szCs w:val="18"/>
          <w:lang w:val="hr-HR"/>
        </w:rPr>
        <w:t>20</w:t>
      </w:r>
      <w:r w:rsidRPr="00FE5BF0">
        <w:rPr>
          <w:rFonts w:ascii="Tahoma" w:hAnsi="Tahoma" w:cs="Tahoma"/>
          <w:sz w:val="18"/>
          <w:szCs w:val="18"/>
          <w:lang w:val="sr-Cyrl-CS"/>
        </w:rPr>
        <w:t>12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FE5BF0">
        <w:rPr>
          <w:rFonts w:ascii="Tahoma" w:hAnsi="Tahoma" w:cs="Tahoma"/>
          <w:sz w:val="18"/>
          <w:szCs w:val="18"/>
          <w:lang w:val="sr-Cyrl-CS"/>
        </w:rPr>
        <w:t>године у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јануар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hr-HR"/>
        </w:rPr>
        <w:t>201</w:t>
      </w:r>
      <w:r w:rsidRPr="00FE5BF0">
        <w:rPr>
          <w:rFonts w:ascii="Tahoma" w:hAnsi="Tahoma" w:cs="Tahoma"/>
          <w:sz w:val="18"/>
          <w:szCs w:val="18"/>
          <w:lang w:val="sr-Cyrl-CS"/>
        </w:rPr>
        <w:t>2</w:t>
      </w:r>
      <w:r w:rsidRPr="00FE5BF0">
        <w:rPr>
          <w:rFonts w:ascii="Tahoma" w:hAnsi="Tahoma" w:cs="Tahoma"/>
          <w:sz w:val="18"/>
          <w:szCs w:val="18"/>
          <w:lang w:val="hr-HR"/>
        </w:rPr>
        <w:t>.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</w:t>
      </w:r>
      <w:r w:rsidRPr="00FE5BF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 2,2%, цијене</w:t>
      </w:r>
      <w:r w:rsidRPr="00FE5BF0">
        <w:rPr>
          <w:rFonts w:ascii="Tahoma" w:hAnsi="Tahoma" w:cs="Tahoma"/>
          <w:sz w:val="18"/>
          <w:szCs w:val="18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подручја (Д) прерађивачка индустрија за 0</w:t>
      </w:r>
      <w:r w:rsidR="00171709" w:rsidRPr="00FE5BF0">
        <w:rPr>
          <w:rFonts w:ascii="Tahoma" w:hAnsi="Tahoma" w:cs="Tahoma"/>
          <w:sz w:val="18"/>
          <w:szCs w:val="18"/>
          <w:lang w:val="sr-Cyrl-CS"/>
        </w:rPr>
        <w:t>,3%, док су цијене подручја (Е)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производња и снабд</w:t>
      </w:r>
      <w:r w:rsidR="00B05F0D" w:rsidRPr="00FE5BF0">
        <w:rPr>
          <w:rFonts w:ascii="Tahoma" w:hAnsi="Tahoma" w:cs="Tahoma"/>
          <w:sz w:val="18"/>
          <w:szCs w:val="18"/>
          <w:lang w:val="sr-Cyrl-CS"/>
        </w:rPr>
        <w:t>и</w:t>
      </w:r>
      <w:r w:rsidRPr="00FE5BF0">
        <w:rPr>
          <w:rFonts w:ascii="Tahoma" w:hAnsi="Tahoma" w:cs="Tahoma"/>
          <w:sz w:val="18"/>
          <w:szCs w:val="18"/>
          <w:lang w:val="sr-Cyrl-CS"/>
        </w:rPr>
        <w:t>јевање електричном енергијом, гасом и водом у просјеку остале на истом нивоу.</w:t>
      </w:r>
    </w:p>
    <w:p w:rsidR="00693032" w:rsidRPr="00FE5BF0" w:rsidRDefault="00693032" w:rsidP="00B05F0D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bs-Cyrl-BA"/>
        </w:rPr>
        <w:t>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фебруару </w:t>
      </w:r>
      <w:r w:rsidRPr="00FE5BF0">
        <w:rPr>
          <w:rFonts w:ascii="Tahoma" w:hAnsi="Tahoma" w:cs="Tahoma"/>
          <w:sz w:val="18"/>
          <w:szCs w:val="18"/>
          <w:lang w:val="hr-HR"/>
        </w:rPr>
        <w:t>20</w:t>
      </w:r>
      <w:r w:rsidRPr="00FE5BF0">
        <w:rPr>
          <w:rFonts w:ascii="Tahoma" w:hAnsi="Tahoma" w:cs="Tahoma"/>
          <w:sz w:val="18"/>
          <w:szCs w:val="18"/>
          <w:lang w:val="sr-Cyrl-CS"/>
        </w:rPr>
        <w:t>12</w:t>
      </w:r>
      <w:r w:rsidRPr="00FE5BF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FE5BF0">
        <w:rPr>
          <w:rFonts w:ascii="Tahoma" w:hAnsi="Tahoma" w:cs="Tahoma"/>
          <w:sz w:val="18"/>
          <w:szCs w:val="18"/>
          <w:lang w:val="hr-HR"/>
        </w:rPr>
        <w:t>у односу 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фебруар </w:t>
      </w:r>
      <w:r w:rsidRPr="00FE5BF0">
        <w:rPr>
          <w:rFonts w:ascii="Tahoma" w:hAnsi="Tahoma" w:cs="Tahoma"/>
          <w:sz w:val="18"/>
          <w:szCs w:val="18"/>
          <w:lang w:val="hr-HR"/>
        </w:rPr>
        <w:t>20</w:t>
      </w:r>
      <w:r w:rsidRPr="00FE5BF0">
        <w:rPr>
          <w:rFonts w:ascii="Tahoma" w:hAnsi="Tahoma" w:cs="Tahoma"/>
          <w:sz w:val="18"/>
          <w:szCs w:val="18"/>
          <w:lang w:val="sr-Cyrl-CS"/>
        </w:rPr>
        <w:t>11</w:t>
      </w:r>
      <w:r w:rsidRPr="00FE5BF0">
        <w:rPr>
          <w:rFonts w:ascii="Tahoma" w:hAnsi="Tahoma" w:cs="Tahoma"/>
          <w:sz w:val="18"/>
          <w:szCs w:val="18"/>
          <w:lang w:val="hr-HR"/>
        </w:rPr>
        <w:t>.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FE5BF0">
        <w:rPr>
          <w:rFonts w:ascii="Tahoma" w:hAnsi="Tahoma" w:cs="Tahoma"/>
          <w:sz w:val="18"/>
          <w:szCs w:val="18"/>
        </w:rPr>
        <w:t>j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7,1%, </w:t>
      </w:r>
      <w:r w:rsidRPr="00FE5BF0">
        <w:rPr>
          <w:rFonts w:ascii="Tahoma" w:hAnsi="Tahoma" w:cs="Tahoma"/>
          <w:bCs/>
          <w:sz w:val="18"/>
          <w:szCs w:val="18"/>
          <w:lang w:val="sr-Cyrl-CS"/>
        </w:rPr>
        <w:t>цијене подручја</w:t>
      </w:r>
      <w:r w:rsidRPr="00FE5BF0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FE5BF0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FE5BF0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 0,5% док су цијене подручја </w:t>
      </w:r>
      <w:r w:rsidRPr="00FE5BF0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FE5BF0">
        <w:rPr>
          <w:rFonts w:ascii="Tahoma" w:hAnsi="Tahoma" w:cs="Tahoma"/>
          <w:bCs/>
          <w:sz w:val="18"/>
          <w:szCs w:val="18"/>
          <w:lang w:val="sr-Cyrl-CS"/>
        </w:rPr>
        <w:t xml:space="preserve"> у просјеку ниже за 1,1%. </w:t>
      </w:r>
    </w:p>
    <w:p w:rsidR="00B32263" w:rsidRPr="00FE5BF0" w:rsidRDefault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b/>
          <w:spacing w:val="-4"/>
          <w:sz w:val="28"/>
          <w:szCs w:val="28"/>
        </w:rPr>
      </w:pPr>
    </w:p>
    <w:p w:rsidR="00C470A2" w:rsidRPr="00FE5BF0" w:rsidRDefault="00C470A2" w:rsidP="00C470A2">
      <w:pPr>
        <w:tabs>
          <w:tab w:val="left" w:pos="0"/>
          <w:tab w:val="left" w:pos="1100"/>
        </w:tabs>
        <w:jc w:val="both"/>
        <w:rPr>
          <w:lang w:val="sr-Cyrl-CS"/>
        </w:rPr>
      </w:pPr>
      <w:r w:rsidRPr="00FE5BF0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FE5BF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Pr="00FE5BF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FE5BF0">
        <w:rPr>
          <w:rFonts w:ascii="Tahoma" w:hAnsi="Tahoma" w:cs="Tahoma"/>
          <w:b/>
          <w:spacing w:val="-4"/>
          <w:sz w:val="28"/>
          <w:szCs w:val="28"/>
        </w:rPr>
        <w:t>II</w:t>
      </w:r>
      <w:r w:rsidRPr="00FE5BF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Pr="00FE5BF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Pr="00FE5BF0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мањи</w:t>
      </w:r>
      <w:r w:rsidRPr="00FE5BF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19,8</w:t>
      </w:r>
      <w:r w:rsidRPr="00FE5BF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F628D6" w:rsidRPr="00FE5BF0" w:rsidRDefault="00F628D6" w:rsidP="00F628D6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FE5BF0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FE5BF0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FE5BF0">
        <w:rPr>
          <w:rFonts w:ascii="Tahoma" w:hAnsi="Tahoma" w:cs="Tahoma"/>
          <w:sz w:val="24"/>
          <w:szCs w:val="24"/>
        </w:rPr>
        <w:t>II</w:t>
      </w:r>
      <w:r w:rsidRPr="00FE5BF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FE5BF0">
        <w:rPr>
          <w:rFonts w:ascii="Tahoma" w:hAnsi="Tahoma" w:cs="Tahoma"/>
          <w:sz w:val="24"/>
          <w:szCs w:val="24"/>
          <w:lang w:val="sr-Cyrl-CS"/>
        </w:rPr>
        <w:t>12</w:t>
      </w:r>
      <w:r w:rsidRPr="00FE5BF0">
        <w:rPr>
          <w:rFonts w:ascii="Tahoma" w:hAnsi="Tahoma" w:cs="Tahoma"/>
          <w:sz w:val="24"/>
          <w:szCs w:val="24"/>
          <w:lang w:val="sr-Latn-BA"/>
        </w:rPr>
        <w:t>/</w:t>
      </w:r>
      <w:r w:rsidRPr="00FE5BF0">
        <w:rPr>
          <w:rFonts w:ascii="Tahoma" w:hAnsi="Tahoma" w:cs="Tahoma"/>
          <w:bCs/>
          <w:sz w:val="24"/>
          <w:szCs w:val="24"/>
        </w:rPr>
        <w:sym w:font="Symbol" w:char="F0C6"/>
      </w:r>
      <w:r w:rsidRPr="00FE5BF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FE5BF0">
        <w:rPr>
          <w:rFonts w:ascii="Tahoma" w:hAnsi="Tahoma" w:cs="Tahoma"/>
          <w:bCs/>
          <w:sz w:val="24"/>
          <w:szCs w:val="24"/>
          <w:lang w:val="ru-RU"/>
        </w:rPr>
        <w:t>2011.</w:t>
      </w:r>
      <w:r w:rsidRPr="00FE5BF0">
        <w:rPr>
          <w:rFonts w:ascii="Tahoma" w:hAnsi="Tahoma" w:cs="Tahoma"/>
          <w:bCs/>
          <w:sz w:val="24"/>
          <w:szCs w:val="24"/>
          <w:lang w:val="hr-HR"/>
        </w:rPr>
        <w:t>)</w:t>
      </w:r>
      <w:r w:rsidRPr="00FE5BF0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FE5BF0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FE5BF0">
        <w:rPr>
          <w:rFonts w:ascii="Tahoma" w:hAnsi="Tahoma" w:cs="Tahoma"/>
          <w:sz w:val="24"/>
          <w:szCs w:val="24"/>
          <w:lang w:val="sr-Cyrl-CS"/>
        </w:rPr>
        <w:t>2</w:t>
      </w:r>
      <w:r w:rsidRPr="00FE5BF0">
        <w:rPr>
          <w:rFonts w:ascii="Tahoma" w:hAnsi="Tahoma" w:cs="Tahoma"/>
          <w:sz w:val="24"/>
          <w:szCs w:val="24"/>
          <w:lang w:val="sr-Cyrl-BA"/>
        </w:rPr>
        <w:t>,4</w:t>
      </w:r>
      <w:r w:rsidRPr="00FE5BF0">
        <w:rPr>
          <w:rFonts w:ascii="Tahoma" w:hAnsi="Tahoma" w:cs="Tahoma"/>
          <w:sz w:val="24"/>
          <w:szCs w:val="24"/>
          <w:lang w:val="ru-RU"/>
        </w:rPr>
        <w:t>%</w:t>
      </w:r>
    </w:p>
    <w:p w:rsidR="00B32263" w:rsidRPr="00FE5BF0" w:rsidRDefault="00B32263" w:rsidP="00B32263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C470A2" w:rsidRPr="00FE5BF0" w:rsidRDefault="00C470A2" w:rsidP="00C470A2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FE5BF0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FE5BF0">
        <w:rPr>
          <w:rFonts w:ascii="Tahoma" w:hAnsi="Tahoma" w:cs="Tahoma"/>
          <w:sz w:val="18"/>
          <w:szCs w:val="18"/>
          <w:lang w:val="sr-Cyrl-CS"/>
        </w:rPr>
        <w:t>фебруару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2012. године у односу на исти мјесец прошле године мања је за 5,5%, у односу на претходни мјесец текуће године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мања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је за 8,3% и у односу на просјечну мјесечну производњу из 2011. године за 19,8%.</w:t>
      </w:r>
    </w:p>
    <w:p w:rsidR="00B32263" w:rsidRPr="00FE5BF0" w:rsidRDefault="00B32263" w:rsidP="00B32263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70A2" w:rsidRPr="00FE5BF0" w:rsidRDefault="00C470A2" w:rsidP="00C470A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фебруар 2012. године у односу на исти период </w:t>
      </w:r>
      <w:r w:rsidRPr="00FE5BF0">
        <w:rPr>
          <w:rFonts w:ascii="Tahoma" w:hAnsi="Tahoma" w:cs="Tahoma"/>
          <w:sz w:val="18"/>
          <w:szCs w:val="18"/>
          <w:lang w:val="ru-RU"/>
        </w:rPr>
        <w:t>прошле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године мања је за 5,0%. У истом периоду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FE5BF0">
        <w:rPr>
          <w:rFonts w:ascii="Tahoma" w:hAnsi="Tahoma" w:cs="Tahoma"/>
          <w:sz w:val="18"/>
          <w:szCs w:val="18"/>
          <w:lang w:val="ru-RU"/>
        </w:rPr>
        <w:t>подручју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забиљежена је негативна стопа промјене од 0,5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FE5BF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негативна стопа промјене 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од 3,8% и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FE5BF0">
        <w:rPr>
          <w:rFonts w:ascii="Tahoma" w:hAnsi="Tahoma" w:cs="Tahoma"/>
          <w:sz w:val="18"/>
          <w:szCs w:val="18"/>
          <w:lang w:val="sr-Cyrl-BA"/>
        </w:rPr>
        <w:t>стопа промјене од 10</w:t>
      </w:r>
      <w:r w:rsidRPr="00FE5BF0">
        <w:rPr>
          <w:rFonts w:ascii="Tahoma" w:hAnsi="Tahoma" w:cs="Tahoma"/>
          <w:sz w:val="18"/>
          <w:szCs w:val="18"/>
          <w:lang w:val="ru-RU"/>
        </w:rPr>
        <w:t>,0%.</w:t>
      </w:r>
    </w:p>
    <w:p w:rsidR="00C470A2" w:rsidRPr="00FE5BF0" w:rsidRDefault="00C470A2" w:rsidP="00C470A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70A2" w:rsidRPr="00FE5BF0" w:rsidRDefault="00C470A2" w:rsidP="00C470A2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фебруар 2012. године у односу на исти период прошле године забиљежена је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негативна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стопа промјене </w:t>
      </w:r>
      <w:r w:rsidRPr="00FE5BF0">
        <w:rPr>
          <w:rFonts w:ascii="Tahoma" w:hAnsi="Tahoma" w:cs="Tahoma"/>
          <w:sz w:val="18"/>
          <w:szCs w:val="18"/>
          <w:lang w:val="ru-RU"/>
        </w:rPr>
        <w:t>енергије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од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0,7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FE5BF0">
        <w:rPr>
          <w:rFonts w:ascii="Tahoma" w:hAnsi="Tahoma" w:cs="Tahoma"/>
          <w:sz w:val="18"/>
          <w:szCs w:val="18"/>
          <w:lang w:val="ru-RU"/>
        </w:rPr>
        <w:t>нетрајних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од 3,2%, </w:t>
      </w:r>
      <w:r w:rsidRPr="00FE5BF0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од 15,9% </w:t>
      </w:r>
      <w:r w:rsidRPr="00FE5BF0">
        <w:rPr>
          <w:rFonts w:ascii="Tahoma" w:hAnsi="Tahoma" w:cs="Tahoma"/>
          <w:sz w:val="18"/>
          <w:szCs w:val="18"/>
          <w:lang w:val="sr-Cyrl-BA"/>
        </w:rPr>
        <w:t>и капиталних производа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од 18</w:t>
      </w:r>
      <w:r w:rsidRPr="00FE5BF0">
        <w:rPr>
          <w:rFonts w:ascii="Tahoma" w:hAnsi="Tahoma" w:cs="Tahoma"/>
          <w:sz w:val="18"/>
          <w:szCs w:val="18"/>
          <w:lang w:val="sr-Cyrl-CS"/>
        </w:rPr>
        <w:t>,5</w:t>
      </w:r>
      <w:r w:rsidRPr="00FE5BF0">
        <w:rPr>
          <w:rFonts w:ascii="Tahoma" w:hAnsi="Tahoma" w:cs="Tahoma"/>
          <w:sz w:val="18"/>
          <w:szCs w:val="18"/>
          <w:lang w:val="ru-RU"/>
        </w:rPr>
        <w:t>%, док је код трајних производа забиљежена позитивна стопа промјене од 14,0%.</w:t>
      </w:r>
    </w:p>
    <w:p w:rsidR="00B32263" w:rsidRPr="00FE5BF0" w:rsidRDefault="00B32263" w:rsidP="00B32263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FE5BF0" w:rsidRDefault="00B32263" w:rsidP="00B32263">
      <w:pPr>
        <w:jc w:val="both"/>
        <w:rPr>
          <w:rFonts w:ascii="Tahoma" w:hAnsi="Tahoma" w:cs="Tahoma"/>
          <w:b/>
          <w:sz w:val="18"/>
          <w:szCs w:val="18"/>
        </w:rPr>
      </w:pPr>
    </w:p>
    <w:p w:rsidR="00F628D6" w:rsidRPr="00FE5BF0" w:rsidRDefault="00F628D6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FE5BF0">
        <w:rPr>
          <w:rFonts w:ascii="Tahoma" w:hAnsi="Tahoma" w:cs="Tahoma"/>
          <w:sz w:val="18"/>
          <w:szCs w:val="18"/>
          <w:lang w:val="sr-Cyrl-CS"/>
        </w:rPr>
        <w:t>фебруару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2012. године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FE5BF0">
        <w:rPr>
          <w:rFonts w:ascii="Tahoma" w:hAnsi="Tahoma" w:cs="Tahoma"/>
          <w:sz w:val="18"/>
          <w:szCs w:val="18"/>
          <w:lang w:val="ru-RU"/>
        </w:rPr>
        <w:t>односу на јануар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године је остао непромијењен.</w:t>
      </w:r>
    </w:p>
    <w:p w:rsidR="00F628D6" w:rsidRPr="00FE5BF0" w:rsidRDefault="00F628D6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28D6" w:rsidRPr="00FE5BF0" w:rsidRDefault="00F628D6" w:rsidP="00F628D6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FE5BF0">
        <w:rPr>
          <w:rFonts w:ascii="Tahoma" w:hAnsi="Tahoma" w:cs="Tahoma"/>
          <w:sz w:val="18"/>
          <w:szCs w:val="18"/>
          <w:lang w:val="ru-RU"/>
        </w:rPr>
        <w:t>периоду јануар - фебруар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2012. године у поређењу са истим периодом прошле године мањи је за 3,3%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забиљежен пад броја запослених од 0,9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%, у подручју </w:t>
      </w:r>
      <w:r w:rsidRPr="00FE5BF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пад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>од 1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,0% и у подручју </w:t>
      </w:r>
      <w:r w:rsidRPr="00FE5BF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пад од 4,0%. </w:t>
      </w:r>
    </w:p>
    <w:p w:rsidR="00B32263" w:rsidRPr="00FE5BF0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FE5BF0" w:rsidRDefault="00B32263" w:rsidP="00B32263">
      <w:pPr>
        <w:rPr>
          <w:rFonts w:ascii="Tahoma" w:hAnsi="Tahoma" w:cs="Tahoma"/>
          <w:b/>
          <w:sz w:val="28"/>
          <w:szCs w:val="28"/>
        </w:rPr>
      </w:pPr>
    </w:p>
    <w:p w:rsidR="00B32263" w:rsidRPr="00FE5BF0" w:rsidRDefault="00B32263">
      <w:pPr>
        <w:rPr>
          <w:rFonts w:ascii="Tahoma" w:hAnsi="Tahoma" w:cs="Tahoma"/>
          <w:b/>
          <w:sz w:val="28"/>
          <w:szCs w:val="28"/>
          <w:lang w:val="bs-Cyrl-BA"/>
        </w:rPr>
      </w:pPr>
      <w:r w:rsidRPr="00FE5BF0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F04921" w:rsidRPr="00FE5BF0" w:rsidRDefault="00F04921" w:rsidP="00B32263">
      <w:pPr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FE5BF0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FE5BF0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FE5BF0">
        <w:rPr>
          <w:rFonts w:ascii="Tahoma" w:hAnsi="Tahoma" w:cs="Tahoma"/>
          <w:b/>
          <w:sz w:val="28"/>
          <w:szCs w:val="28"/>
        </w:rPr>
        <w:t>I</w:t>
      </w:r>
      <w:r w:rsidRPr="00FE5BF0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Pr="00FE5BF0">
        <w:rPr>
          <w:rFonts w:ascii="Tahoma" w:hAnsi="Tahoma" w:cs="Tahoma"/>
          <w:b/>
          <w:sz w:val="28"/>
          <w:szCs w:val="28"/>
        </w:rPr>
        <w:t xml:space="preserve">II </w:t>
      </w:r>
      <w:r w:rsidRPr="00FE5BF0">
        <w:rPr>
          <w:rFonts w:ascii="Tahoma" w:hAnsi="Tahoma" w:cs="Tahoma"/>
          <w:b/>
          <w:sz w:val="28"/>
          <w:szCs w:val="28"/>
          <w:lang w:val="ru-RU"/>
        </w:rPr>
        <w:t>201</w:t>
      </w:r>
      <w:r w:rsidRPr="00FE5BF0">
        <w:rPr>
          <w:rFonts w:ascii="Tahoma" w:hAnsi="Tahoma" w:cs="Tahoma"/>
          <w:b/>
          <w:sz w:val="28"/>
          <w:szCs w:val="28"/>
        </w:rPr>
        <w:t>2</w:t>
      </w:r>
      <w:r w:rsidRPr="00FE5BF0">
        <w:rPr>
          <w:rFonts w:ascii="Tahoma" w:hAnsi="Tahoma" w:cs="Tahoma"/>
          <w:b/>
          <w:sz w:val="28"/>
          <w:szCs w:val="28"/>
          <w:lang w:val="ru-RU"/>
        </w:rPr>
        <w:t>.</w:t>
      </w:r>
      <w:r w:rsidRPr="00FE5BF0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FE5BF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FE5BF0">
        <w:rPr>
          <w:rFonts w:ascii="Tahoma" w:hAnsi="Tahoma" w:cs="Tahoma"/>
          <w:b/>
          <w:sz w:val="28"/>
          <w:szCs w:val="28"/>
          <w:lang w:val="hr-HR"/>
        </w:rPr>
        <w:t>59</w:t>
      </w:r>
      <w:r w:rsidRPr="00FE5BF0">
        <w:rPr>
          <w:rFonts w:ascii="Tahoma" w:hAnsi="Tahoma" w:cs="Tahoma"/>
          <w:b/>
          <w:sz w:val="28"/>
          <w:szCs w:val="28"/>
          <w:lang w:val="ru-RU"/>
        </w:rPr>
        <w:t>,</w:t>
      </w:r>
      <w:r w:rsidRPr="00FE5BF0">
        <w:rPr>
          <w:rFonts w:ascii="Tahoma" w:hAnsi="Tahoma" w:cs="Tahoma"/>
          <w:b/>
          <w:sz w:val="28"/>
          <w:szCs w:val="28"/>
        </w:rPr>
        <w:t>9</w:t>
      </w:r>
      <w:r w:rsidRPr="00FE5BF0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F04921" w:rsidRPr="00FE5BF0" w:rsidRDefault="00F04921" w:rsidP="00F0492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FE5BF0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FE5BF0">
        <w:rPr>
          <w:rFonts w:ascii="Tahoma" w:hAnsi="Tahoma" w:cs="Tahoma"/>
          <w:sz w:val="24"/>
          <w:szCs w:val="24"/>
          <w:lang w:val="hr-HR"/>
        </w:rPr>
        <w:t>(I-II 2012/I-II 2011</w:t>
      </w:r>
      <w:r w:rsidRPr="00FE5BF0">
        <w:rPr>
          <w:rFonts w:ascii="Tahoma" w:hAnsi="Tahoma" w:cs="Tahoma"/>
          <w:sz w:val="24"/>
          <w:szCs w:val="24"/>
          <w:lang w:val="sr-Cyrl-CS"/>
        </w:rPr>
        <w:t>.</w:t>
      </w:r>
      <w:r w:rsidRPr="00FE5BF0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FE5BF0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FE5BF0">
        <w:rPr>
          <w:rFonts w:ascii="Tahoma" w:hAnsi="Tahoma" w:cs="Tahoma"/>
          <w:sz w:val="24"/>
          <w:szCs w:val="24"/>
        </w:rPr>
        <w:t>12</w:t>
      </w:r>
      <w:r w:rsidRPr="00FE5BF0">
        <w:rPr>
          <w:rFonts w:ascii="Tahoma" w:hAnsi="Tahoma" w:cs="Tahoma"/>
          <w:sz w:val="24"/>
          <w:szCs w:val="24"/>
          <w:lang w:val="ru-RU"/>
        </w:rPr>
        <w:t>,9%</w:t>
      </w:r>
    </w:p>
    <w:p w:rsidR="00F04921" w:rsidRPr="00FE5BF0" w:rsidRDefault="00F04921" w:rsidP="00F0492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71709" w:rsidRPr="00FE5BF0" w:rsidRDefault="00F0492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>У фебруару 2012. године, остварен је извоз у вриједности 161 милион КМ и увоз у вриједности од 243 милиона КМ.</w:t>
      </w:r>
    </w:p>
    <w:p w:rsidR="00F04921" w:rsidRPr="00FE5BF0" w:rsidRDefault="00F0492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FE5BF0">
        <w:rPr>
          <w:rFonts w:ascii="Tahoma" w:hAnsi="Tahoma" w:cs="Tahoma"/>
          <w:sz w:val="18"/>
          <w:szCs w:val="18"/>
          <w:lang w:val="bs-Cyrl-BA"/>
        </w:rPr>
        <w:t>е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FE5BF0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Српске са иностранством у фебруару ове године, проценат покривености увоза извозом износио је 66,5%. </w:t>
      </w:r>
    </w:p>
    <w:p w:rsidR="00F04921" w:rsidRPr="00FE5BF0" w:rsidRDefault="00F04921" w:rsidP="00B05F0D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  <w:lang w:val="ru-RU"/>
        </w:rPr>
        <w:t>У периоду јануар - фебруар 2012. године остварен је извоз у вриједности од 320 милиона КМ, што је за 12,9% мање у односу на исти период претходне године. Увоз је, у истом периоду, износио 533 милиона КМ, што је за 11,3% мање у односу на исти период претходне године.</w:t>
      </w:r>
    </w:p>
    <w:p w:rsidR="00F04921" w:rsidRPr="00FE5BF0" w:rsidRDefault="00F04921" w:rsidP="00B05F0D">
      <w:pPr>
        <w:spacing w:after="120"/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прва два мјесеца текуће године износио је 59,9%, док је спољнотрговински робни дефицит износио 214 милиона КМ.</w:t>
      </w:r>
    </w:p>
    <w:p w:rsidR="00F04921" w:rsidRPr="00FE5BF0" w:rsidRDefault="00F04921" w:rsidP="00B05F0D">
      <w:pPr>
        <w:pStyle w:val="Body2"/>
        <w:tabs>
          <w:tab w:val="left" w:pos="408"/>
        </w:tabs>
        <w:spacing w:after="120"/>
        <w:ind w:firstLine="0"/>
        <w:rPr>
          <w:rFonts w:ascii="Tahoma" w:hAnsi="Tahoma" w:cs="Tahoma"/>
          <w:szCs w:val="18"/>
          <w:lang w:val="sr-Cyrl-CS"/>
        </w:rPr>
      </w:pPr>
      <w:r w:rsidRPr="00FE5BF0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FE5BF0">
        <w:rPr>
          <w:rFonts w:ascii="Tahoma" w:hAnsi="Tahoma" w:cs="Tahoma"/>
          <w:szCs w:val="18"/>
        </w:rPr>
        <w:t>e</w:t>
      </w:r>
      <w:r w:rsidRPr="00FE5BF0">
        <w:rPr>
          <w:rFonts w:ascii="Tahoma" w:hAnsi="Tahoma" w:cs="Tahoma"/>
          <w:szCs w:val="18"/>
          <w:lang w:val="ru-RU"/>
        </w:rPr>
        <w:t xml:space="preserve"> Српск</w:t>
      </w:r>
      <w:r w:rsidRPr="00FE5BF0">
        <w:rPr>
          <w:rFonts w:ascii="Tahoma" w:hAnsi="Tahoma" w:cs="Tahoma"/>
          <w:szCs w:val="18"/>
        </w:rPr>
        <w:t>e</w:t>
      </w:r>
      <w:r w:rsidRPr="00FE5BF0">
        <w:rPr>
          <w:rFonts w:ascii="Tahoma" w:hAnsi="Tahoma" w:cs="Tahoma"/>
          <w:szCs w:val="18"/>
          <w:lang w:val="ru-RU"/>
        </w:rPr>
        <w:t xml:space="preserve"> са иностранством, у периоду јануар - фебруар </w:t>
      </w:r>
      <w:r w:rsidRPr="00FE5BF0">
        <w:rPr>
          <w:rFonts w:ascii="Tahoma" w:hAnsi="Tahoma" w:cs="Tahoma"/>
          <w:szCs w:val="18"/>
          <w:lang w:val="sr-Cyrl-CS"/>
        </w:rPr>
        <w:t>2012. године, највише се извозило у Италију и то у вриједности од 56 милиона КМ, односно 17,7%</w:t>
      </w:r>
      <w:r w:rsidRPr="00FE5BF0">
        <w:rPr>
          <w:rFonts w:ascii="Tahoma" w:hAnsi="Tahoma" w:cs="Tahoma"/>
          <w:szCs w:val="18"/>
          <w:lang w:val="ru-RU"/>
        </w:rPr>
        <w:t xml:space="preserve">, </w:t>
      </w:r>
      <w:r w:rsidRPr="00FE5BF0">
        <w:rPr>
          <w:rFonts w:ascii="Tahoma" w:hAnsi="Tahoma" w:cs="Tahoma"/>
          <w:szCs w:val="18"/>
          <w:lang w:val="sr-Cyrl-CS"/>
        </w:rPr>
        <w:t>те у Србију, у вриједности од 50 милиона КМ, односно 15,8% од укупног оствареног извоза.</w:t>
      </w:r>
    </w:p>
    <w:p w:rsidR="00F04921" w:rsidRPr="00FE5BF0" w:rsidRDefault="00F0492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 w:rsidRPr="00FE5BF0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FE5BF0">
        <w:rPr>
          <w:rFonts w:ascii="Tahoma" w:hAnsi="Tahoma" w:cs="Tahoma"/>
          <w:sz w:val="18"/>
          <w:szCs w:val="18"/>
          <w:lang w:val="sr-Cyrl-BA"/>
        </w:rPr>
        <w:t>н</w:t>
      </w:r>
      <w:r w:rsidRPr="00FE5BF0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133 милиона КМ, односно 24,9% и из Србије, у вриједности од 80 милиона КМ, односно 15,0% од укупно оствареног увоза.</w:t>
      </w:r>
    </w:p>
    <w:p w:rsidR="00F04921" w:rsidRPr="00FE5BF0" w:rsidRDefault="00F04921" w:rsidP="00B05F0D">
      <w:pPr>
        <w:tabs>
          <w:tab w:val="left" w:pos="300"/>
          <w:tab w:val="left" w:pos="1100"/>
        </w:tabs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 w:rsidRPr="00FE5BF0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="00B05F0D" w:rsidRPr="00FE5BF0">
        <w:rPr>
          <w:rFonts w:ascii="Tahoma" w:hAnsi="Tahoma" w:cs="Tahoma"/>
          <w:sz w:val="18"/>
          <w:szCs w:val="18"/>
          <w:lang w:val="ru-RU"/>
        </w:rPr>
        <w:t>јануар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- фебруар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2012. године, највеће учешће у извозу остварују </w:t>
      </w:r>
      <w:r w:rsidRPr="00FE5BF0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FE5BF0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FE5BF0">
        <w:rPr>
          <w:rFonts w:ascii="Tahoma" w:hAnsi="Tahoma" w:cs="Tahoma"/>
          <w:sz w:val="18"/>
          <w:szCs w:val="18"/>
          <w:lang w:val="sr-Cyrl-CS"/>
        </w:rPr>
        <w:t>)</w:t>
      </w:r>
      <w:r w:rsidRPr="00FE5BF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50 милиона КМ, што износи 15,7% од укупног извоза, док највеће учешће у увозу остварује </w:t>
      </w:r>
      <w:r w:rsidRPr="00FE5BF0">
        <w:rPr>
          <w:rFonts w:ascii="Tahoma" w:hAnsi="Tahoma" w:cs="Tahoma"/>
          <w:sz w:val="18"/>
          <w:szCs w:val="18"/>
          <w:lang w:val="sr-Cyrl-BA"/>
        </w:rPr>
        <w:t>н</w:t>
      </w:r>
      <w:r w:rsidRPr="00FE5BF0">
        <w:rPr>
          <w:rFonts w:ascii="Tahoma" w:hAnsi="Tahoma" w:cs="Tahoma"/>
          <w:sz w:val="18"/>
          <w:szCs w:val="18"/>
          <w:lang w:val="ru-RU"/>
        </w:rPr>
        <w:t>афт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FE5BF0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FE5BF0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FE5BF0">
        <w:rPr>
          <w:rFonts w:ascii="Tahoma" w:hAnsi="Tahoma" w:cs="Tahoma"/>
          <w:sz w:val="18"/>
          <w:szCs w:val="18"/>
          <w:lang w:val="ru-RU"/>
        </w:rPr>
        <w:t>сиров</w:t>
      </w:r>
      <w:r w:rsidRPr="00FE5BF0">
        <w:rPr>
          <w:rFonts w:ascii="Tahoma" w:hAnsi="Tahoma" w:cs="Tahoma"/>
          <w:sz w:val="18"/>
          <w:szCs w:val="18"/>
          <w:lang w:val="sr-Cyrl-BA"/>
        </w:rPr>
        <w:t>а), са укупном вриједношћу од 131 милиона КМ, што износи 24,5% од укупног увоза.</w:t>
      </w:r>
    </w:p>
    <w:p w:rsidR="00B97590" w:rsidRPr="00FE5BF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FE5BF0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FE5BF0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FE5BF0" w:rsidRDefault="00BC28BC" w:rsidP="00B97590">
      <w:pPr>
        <w:jc w:val="center"/>
        <w:rPr>
          <w:rFonts w:ascii="Tahoma" w:hAnsi="Tahoma" w:cs="Tahoma"/>
          <w:sz w:val="18"/>
          <w:szCs w:val="18"/>
        </w:rPr>
      </w:pPr>
      <w:r w:rsidRPr="00BC28BC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85.35pt;margin-top:213.85pt;width:188.35pt;height:22.2pt;z-index:251657216;mso-width-relative:margin;mso-height-relative:margin" stroked="f">
            <v:textbox style="mso-next-textbox:#_x0000_s1061">
              <w:txbxContent>
                <w:p w:rsidR="00FE5BF0" w:rsidRPr="0095396E" w:rsidRDefault="00FE5BF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F04921" w:rsidRPr="00FE5BF0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770782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BC28BC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FE5BF0" w:rsidRPr="00860DF8" w:rsidRDefault="00FE5BF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FE5BF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FE5BF0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FE5BF0" w:rsidRDefault="00B97590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FE5BF0">
        <w:rPr>
          <w:rFonts w:ascii="Tahoma" w:hAnsi="Tahoma" w:cs="Tahoma"/>
          <w:sz w:val="18"/>
          <w:szCs w:val="18"/>
          <w:lang w:val="ru-RU"/>
        </w:rPr>
        <w:t xml:space="preserve">Графикон 2. </w:t>
      </w:r>
      <w:r w:rsidRPr="00FE5BF0">
        <w:rPr>
          <w:rFonts w:ascii="Tahoma" w:hAnsi="Tahoma" w:cs="Tahoma"/>
          <w:iCs/>
          <w:sz w:val="18"/>
          <w:szCs w:val="18"/>
          <w:lang w:val="sr-Cyrl-CS"/>
        </w:rPr>
        <w:t>Из</w:t>
      </w:r>
      <w:r w:rsidRPr="00FE5BF0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Pr="00FE5BF0">
        <w:rPr>
          <w:rFonts w:ascii="Tahoma" w:hAnsi="Tahoma" w:cs="Tahoma"/>
          <w:iCs/>
          <w:sz w:val="18"/>
          <w:szCs w:val="18"/>
          <w:lang w:val="sr-Cyrl-CS"/>
        </w:rPr>
        <w:t>у</w:t>
      </w:r>
      <w:r w:rsidRPr="00FE5BF0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Pr="00FE5BF0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Pr="00FE5BF0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Pr="00FE5BF0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FE5BF0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FE5BF0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FE5BF0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FE5BF0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FE5BF0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Pr="00FE5BF0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FE5BF0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FE5BF0">
        <w:rPr>
          <w:rFonts w:ascii="Tahoma" w:hAnsi="Tahoma" w:cs="Tahoma"/>
          <w:sz w:val="18"/>
          <w:szCs w:val="18"/>
        </w:rPr>
        <w:br w:type="page"/>
      </w:r>
    </w:p>
    <w:p w:rsidR="009F6652" w:rsidRPr="00FE5BF0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FE5BF0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FE5BF0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FE5BF0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F04921" w:rsidRPr="00FE5BF0" w:rsidTr="007C4DE9">
        <w:trPr>
          <w:trHeight w:hRule="exact" w:val="60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04921" w:rsidRPr="00FE5BF0" w:rsidRDefault="00F04921" w:rsidP="007C4DE9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b/>
                <w:sz w:val="16"/>
                <w:lang w:val="sr-Cyrl-CS"/>
              </w:rPr>
              <w:t>Статистика  националних рачуна</w:t>
            </w:r>
          </w:p>
          <w:p w:rsidR="00F04921" w:rsidRPr="00FE5BF0" w:rsidRDefault="00F04921" w:rsidP="007C4DE9">
            <w:pPr>
              <w:rPr>
                <w:rFonts w:ascii="Tahoma" w:hAnsi="Tahoma" w:cs="Tahoma"/>
                <w:sz w:val="16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Жана Алагић</w:t>
            </w:r>
          </w:p>
          <w:p w:rsidR="00F04921" w:rsidRPr="00FE5BF0" w:rsidRDefault="00BC28BC" w:rsidP="007C4DE9">
            <w:hyperlink r:id="rId12" w:history="1"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zana.alagic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F0492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F04921" w:rsidRPr="00FE5BF0" w:rsidRDefault="00F04921" w:rsidP="007C4DE9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FE5BF0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FE5BF0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Pr="00FE5BF0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 w:rsidRPr="00FE5BF0"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FE5BF0" w:rsidRDefault="00BC28BC" w:rsidP="00542A21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205D07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FE5BF0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FE5BF0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FE5BF0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FE5BF0" w:rsidRDefault="00BC28BC" w:rsidP="00542A21">
            <w:pPr>
              <w:rPr>
                <w:rFonts w:ascii="Tahoma" w:hAnsi="Tahoma" w:cs="Tahoma"/>
                <w:sz w:val="16"/>
              </w:rPr>
            </w:pPr>
            <w:hyperlink r:id="rId14" w:history="1">
              <w:r w:rsidR="00205D07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FE5BF0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FE5BF0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FE5BF0" w:rsidRDefault="00BC28BC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FE5BF0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FE5BF0" w:rsidRDefault="00BC28BC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FE5BF0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FE5BF0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FE5BF0" w:rsidRDefault="00BC28BC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FE5BF0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FE5BF0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FE5BF0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FE5B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FE5BF0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FE5BF0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FE5BF0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b/>
                <w:bCs/>
              </w:rPr>
              <w:sym w:font="Symbol" w:char="00C6"/>
            </w:r>
            <w:r w:rsidRPr="00FE5BF0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FE5BF0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FE5BF0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FE5BF0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FE5BF0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FE5BF0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FE5BF0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FE5BF0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FE5BF0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FE5BF0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FE5BF0" w:rsidRDefault="00BC28B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BC28BC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FE5BF0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FE5BF0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FE5BF0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FE5BF0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FE5BF0">
              <w:rPr>
                <w:rFonts w:ascii="Tahoma" w:hAnsi="Tahoma" w:cs="Tahoma"/>
                <w:sz w:val="16"/>
              </w:rPr>
              <w:t xml:space="preserve">е </w:t>
            </w:r>
            <w:r w:rsidR="00477CB9" w:rsidRPr="00FE5BF0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FE5BF0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FE5BF0">
              <w:rPr>
                <w:rFonts w:ascii="Tahoma" w:hAnsi="Tahoma" w:cs="Tahoma"/>
                <w:sz w:val="16"/>
              </w:rPr>
              <w:t xml:space="preserve"> </w:t>
            </w:r>
            <w:r w:rsidRPr="00FE5BF0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FE5BF0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FE5BF0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FE5BF0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FE5BF0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FE5BF0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FE5BF0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FE5BF0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FE5BF0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FE5BF0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FE5BF0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FE5BF0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FE5BF0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FE5BF0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FE5BF0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FE5BF0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FE5BF0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FE5BF0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FE5BF0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FE5BF0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FE5BF0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FE5BF0" w:rsidRDefault="00BC28BC" w:rsidP="008C3261">
      <w:pPr>
        <w:rPr>
          <w:lang w:val="sr-Cyrl-BA"/>
        </w:rPr>
      </w:pPr>
      <w:r w:rsidRPr="00BC28BC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FE5BF0" w:rsidRDefault="00657939" w:rsidP="008C3261">
      <w:pPr>
        <w:rPr>
          <w:lang w:val="sr-Cyrl-BA"/>
        </w:rPr>
      </w:pPr>
    </w:p>
    <w:sectPr w:rsidR="00657939" w:rsidRPr="00FE5BF0" w:rsidSect="005D5311">
      <w:headerReference w:type="default" r:id="rId19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F0" w:rsidRDefault="00FE5BF0">
      <w:r>
        <w:separator/>
      </w:r>
    </w:p>
  </w:endnote>
  <w:endnote w:type="continuationSeparator" w:id="0">
    <w:p w:rsidR="00FE5BF0" w:rsidRDefault="00FE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F0" w:rsidRDefault="00FE5BF0">
      <w:r>
        <w:separator/>
      </w:r>
    </w:p>
  </w:footnote>
  <w:footnote w:type="continuationSeparator" w:id="0">
    <w:p w:rsidR="00FE5BF0" w:rsidRDefault="00FE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E5BF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E5BF0" w:rsidRDefault="00FE5BF0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FE5BF0" w:rsidRPr="00460A5B" w:rsidRDefault="00FE5BF0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E5BF0" w:rsidRPr="005D5311" w:rsidRDefault="00FE5BF0" w:rsidP="006F6AE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март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E230C3">
            <w:rPr>
              <w:rStyle w:val="PageNumber"/>
              <w:rFonts w:ascii="Tahoma" w:hAnsi="Tahoma"/>
              <w:b/>
              <w:noProof/>
              <w:color w:val="0070C0"/>
            </w:rPr>
            <w:t>4</w:t>
          </w:r>
          <w:r w:rsidR="00BC28BC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FE5BF0" w:rsidRDefault="00BC28BC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C28BC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is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na.alag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ZANA\GDP-KVARTALI%20od%202006\Q%202011\Q4%202011-pozitivna%20stopa\Grafikon-Stope%20realnog%20rasta%20Q4%20201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2\Za%20Vladana%20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feb2012\zaGraf%20I-I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8933195333287968E-2"/>
          <c:y val="0.10628833947694216"/>
          <c:w val="0.76883956862905356"/>
          <c:h val="0.70727298531235838"/>
        </c:manualLayout>
      </c:layout>
      <c:barChart>
        <c:barDir val="col"/>
        <c:grouping val="stacked"/>
        <c:ser>
          <c:idx val="0"/>
          <c:order val="0"/>
          <c:cat>
            <c:strRef>
              <c:f>Sheet1!$A$1:$H$1</c:f>
              <c:strCache>
                <c:ptCount val="8"/>
                <c:pt idx="0">
                  <c:v>I 2010</c:v>
                </c:pt>
                <c:pt idx="1">
                  <c:v>II 2010</c:v>
                </c:pt>
                <c:pt idx="2">
                  <c:v>III 2010</c:v>
                </c:pt>
                <c:pt idx="3">
                  <c:v>IV 2010</c:v>
                </c:pt>
                <c:pt idx="4">
                  <c:v>I 2011¹</c:v>
                </c:pt>
                <c:pt idx="5">
                  <c:v>II 2011¹</c:v>
                </c:pt>
                <c:pt idx="6">
                  <c:v>III 2011¹</c:v>
                </c:pt>
                <c:pt idx="7">
                  <c:v>IV 2011¹</c:v>
                </c:pt>
              </c:strCache>
            </c:strRef>
          </c:cat>
          <c:val>
            <c:numRef>
              <c:f>Sheet1!$A$2:$H$2</c:f>
              <c:numCache>
                <c:formatCode>0.0</c:formatCode>
                <c:ptCount val="8"/>
                <c:pt idx="0" formatCode="General">
                  <c:v>-0.30000000000000032</c:v>
                </c:pt>
                <c:pt idx="1">
                  <c:v>1</c:v>
                </c:pt>
                <c:pt idx="2" formatCode="General">
                  <c:v>1.1000000000000001</c:v>
                </c:pt>
                <c:pt idx="3" formatCode="General">
                  <c:v>1.4</c:v>
                </c:pt>
                <c:pt idx="4" formatCode="General">
                  <c:v>1.5</c:v>
                </c:pt>
                <c:pt idx="5" formatCode="General">
                  <c:v>1.5</c:v>
                </c:pt>
                <c:pt idx="6" formatCode="General">
                  <c:v>0.70000000000000062</c:v>
                </c:pt>
                <c:pt idx="7" formatCode="General">
                  <c:v>0.2</c:v>
                </c:pt>
              </c:numCache>
            </c:numRef>
          </c:val>
        </c:ser>
        <c:overlap val="100"/>
        <c:axId val="41492864"/>
        <c:axId val="41494400"/>
      </c:barChart>
      <c:catAx>
        <c:axId val="41492864"/>
        <c:scaling>
          <c:orientation val="minMax"/>
        </c:scaling>
        <c:axPos val="b"/>
        <c:numFmt formatCode="General" sourceLinked="1"/>
        <c:majorTickMark val="none"/>
        <c:tickLblPos val="nextTo"/>
        <c:crossAx val="41494400"/>
        <c:crossesAt val="-0.5"/>
        <c:lblAlgn val="ctr"/>
        <c:lblOffset val="100"/>
        <c:tickLblSkip val="1"/>
      </c:catAx>
      <c:valAx>
        <c:axId val="41494400"/>
        <c:scaling>
          <c:orientation val="minMax"/>
          <c:min val="-0.5"/>
        </c:scaling>
        <c:axPos val="l"/>
        <c:majorGridlines/>
        <c:numFmt formatCode="General" sourceLinked="1"/>
        <c:majorTickMark val="in"/>
        <c:tickLblPos val="nextTo"/>
        <c:crossAx val="41492864"/>
        <c:crosses val="autoZero"/>
        <c:crossBetween val="between"/>
      </c:valAx>
    </c:plotArea>
    <c:plotVisOnly val="1"/>
    <c:dispBlanksAs val="zero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7"/>
          <c:w val="0.65476560622151425"/>
          <c:h val="0.56589036642323065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804</c:v>
                </c:pt>
                <c:pt idx="1">
                  <c:v>807</c:v>
                </c:pt>
                <c:pt idx="2">
                  <c:v>803</c:v>
                </c:pt>
                <c:pt idx="3">
                  <c:v>816</c:v>
                </c:pt>
                <c:pt idx="4">
                  <c:v>817</c:v>
                </c:pt>
                <c:pt idx="5">
                  <c:v>811</c:v>
                </c:pt>
                <c:pt idx="6">
                  <c:v>813</c:v>
                </c:pt>
                <c:pt idx="7">
                  <c:v>807</c:v>
                </c:pt>
                <c:pt idx="8">
                  <c:v>802</c:v>
                </c:pt>
                <c:pt idx="9">
                  <c:v>813</c:v>
                </c:pt>
                <c:pt idx="10">
                  <c:v>815</c:v>
                </c:pt>
                <c:pt idx="11">
                  <c:v>819</c:v>
                </c:pt>
                <c:pt idx="12">
                  <c:v>821</c:v>
                </c:pt>
              </c:numCache>
            </c:numRef>
          </c:val>
        </c:ser>
        <c:marker val="1"/>
        <c:axId val="41536128"/>
        <c:axId val="41546112"/>
      </c:lineChart>
      <c:catAx>
        <c:axId val="41536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546112"/>
        <c:crosses val="autoZero"/>
        <c:lblAlgn val="ctr"/>
        <c:lblOffset val="100"/>
      </c:catAx>
      <c:valAx>
        <c:axId val="41546112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536128"/>
        <c:crosses val="autoZero"/>
        <c:crossBetween val="between"/>
        <c:majorUnit val="40"/>
      </c:valAx>
    </c:plotArea>
    <c:legend>
      <c:legendPos val="r"/>
      <c:layout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zaFeb2012!$A$2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zaFeb2012!$B$1:$N$1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zaFeb2012!$B$2:$N$2</c:f>
              <c:numCache>
                <c:formatCode>General</c:formatCode>
                <c:ptCount val="13"/>
                <c:pt idx="0">
                  <c:v>318375</c:v>
                </c:pt>
                <c:pt idx="1">
                  <c:v>370953</c:v>
                </c:pt>
                <c:pt idx="2">
                  <c:v>344250</c:v>
                </c:pt>
                <c:pt idx="3">
                  <c:v>344720</c:v>
                </c:pt>
                <c:pt idx="4">
                  <c:v>467781</c:v>
                </c:pt>
                <c:pt idx="5">
                  <c:v>408777</c:v>
                </c:pt>
                <c:pt idx="6">
                  <c:v>375448</c:v>
                </c:pt>
                <c:pt idx="7">
                  <c:v>423860</c:v>
                </c:pt>
                <c:pt idx="8">
                  <c:v>396712</c:v>
                </c:pt>
                <c:pt idx="9">
                  <c:v>393737</c:v>
                </c:pt>
                <c:pt idx="10">
                  <c:v>456851</c:v>
                </c:pt>
                <c:pt idx="11">
                  <c:v>290622</c:v>
                </c:pt>
                <c:pt idx="12">
                  <c:v>242661</c:v>
                </c:pt>
              </c:numCache>
            </c:numRef>
          </c:val>
        </c:ser>
        <c:ser>
          <c:idx val="1"/>
          <c:order val="1"/>
          <c:tx>
            <c:strRef>
              <c:f>zaFeb2012!$A$3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zaFeb2012!$B$1:$N$1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zaFeb2012!$B$3:$N$3</c:f>
              <c:numCache>
                <c:formatCode>General</c:formatCode>
                <c:ptCount val="13"/>
                <c:pt idx="0">
                  <c:v>191390</c:v>
                </c:pt>
                <c:pt idx="1">
                  <c:v>212435</c:v>
                </c:pt>
                <c:pt idx="2">
                  <c:v>213851</c:v>
                </c:pt>
                <c:pt idx="3">
                  <c:v>207617</c:v>
                </c:pt>
                <c:pt idx="4">
                  <c:v>228912</c:v>
                </c:pt>
                <c:pt idx="5">
                  <c:v>214293</c:v>
                </c:pt>
                <c:pt idx="6">
                  <c:v>218373</c:v>
                </c:pt>
                <c:pt idx="7">
                  <c:v>248961</c:v>
                </c:pt>
                <c:pt idx="8">
                  <c:v>220859</c:v>
                </c:pt>
                <c:pt idx="9">
                  <c:v>225703</c:v>
                </c:pt>
                <c:pt idx="10">
                  <c:v>203743</c:v>
                </c:pt>
                <c:pt idx="11">
                  <c:v>158330</c:v>
                </c:pt>
                <c:pt idx="12">
                  <c:v>161327</c:v>
                </c:pt>
              </c:numCache>
            </c:numRef>
          </c:val>
        </c:ser>
        <c:marker val="1"/>
        <c:axId val="41723392"/>
        <c:axId val="41724928"/>
      </c:lineChart>
      <c:catAx>
        <c:axId val="4172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724928"/>
        <c:crosses val="autoZero"/>
        <c:auto val="1"/>
        <c:lblAlgn val="ctr"/>
        <c:lblOffset val="100"/>
      </c:catAx>
      <c:valAx>
        <c:axId val="41724928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72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304"/>
          <c:w val="0.17661111111111141"/>
          <c:h val="0.16743438320210119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0.78392</cdr:x>
      <cdr:y>0.01763</cdr:y>
    </cdr:from>
    <cdr:to>
      <cdr:x>0.891</cdr:x>
      <cdr:y>0.08816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02516" y="55659"/>
          <a:ext cx="505747" cy="222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sr-Cyrl-CS" sz="900"/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0.01834</cdr:x>
      <cdr:y>0.9026</cdr:y>
    </cdr:from>
    <cdr:to>
      <cdr:x>0.17896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6618" y="2849209"/>
          <a:ext cx="758620" cy="3074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/>
          <a:r>
            <a:rPr lang="sr-Latn-BA" sz="1100"/>
            <a:t>¹</a:t>
          </a:r>
          <a:r>
            <a:rPr lang="en-US" sz="1100"/>
            <a:t> </a:t>
          </a:r>
          <a:r>
            <a:rPr lang="sr-Cyrl-CS" sz="900"/>
            <a:t>Процјена</a:t>
          </a:r>
          <a:endParaRPr lang="sr-Latn-BA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1446-1F85-4623-8709-0C509490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1735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12438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4</cp:revision>
  <cp:lastPrinted>2012-03-21T08:16:00Z</cp:lastPrinted>
  <dcterms:created xsi:type="dcterms:W3CDTF">2012-03-21T08:18:00Z</dcterms:created>
  <dcterms:modified xsi:type="dcterms:W3CDTF">2012-03-21T10:34:00Z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