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45"/>
        <w:gridCol w:w="2256"/>
        <w:gridCol w:w="2818"/>
      </w:tblGrid>
      <w:tr w:rsidR="005D5311" w:rsidRPr="003E2AC4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E2A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E2AC4">
              <w:rPr>
                <w:rFonts w:ascii="Tahoma" w:hAnsi="Tahoma" w:cs="Tahoma"/>
              </w:rPr>
              <w:br w:type="column"/>
            </w:r>
            <w:r w:rsidRPr="003E2AC4">
              <w:rPr>
                <w:rFonts w:ascii="Tahoma" w:hAnsi="Tahoma" w:cs="Tahoma"/>
              </w:rPr>
              <w:br w:type="column"/>
            </w:r>
            <w:r w:rsidRPr="003E2AC4">
              <w:rPr>
                <w:rFonts w:ascii="Tahoma" w:hAnsi="Tahoma" w:cs="Tahoma"/>
              </w:rPr>
              <w:br w:type="page"/>
            </w:r>
            <w:r w:rsidRPr="003E2AC4">
              <w:rPr>
                <w:rFonts w:ascii="Tahoma" w:hAnsi="Tahoma" w:cs="Tahoma"/>
              </w:rPr>
              <w:br w:type="page"/>
            </w:r>
            <w:r w:rsidR="008B47D1" w:rsidRPr="003E2AC4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50051" cy="672860"/>
                  <wp:effectExtent l="19050" t="0" r="0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7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3E2A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E2A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E2A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E2AC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E2AC4">
              <w:rPr>
                <w:rFonts w:ascii="Tahoma" w:hAnsi="Tahoma" w:cs="Tahoma"/>
                <w:sz w:val="16"/>
                <w:lang w:val="sr-Cyrl-BA"/>
              </w:rPr>
              <w:t xml:space="preserve">                   </w:t>
            </w:r>
            <w:r w:rsidR="005D5311" w:rsidRPr="003E2AC4">
              <w:rPr>
                <w:rFonts w:ascii="Tahoma" w:hAnsi="Tahoma" w:cs="Tahoma"/>
                <w:sz w:val="16"/>
                <w:lang w:val="sr-Cyrl-BA"/>
              </w:rPr>
              <w:t>[</w:t>
            </w:r>
            <w:r w:rsidR="006B0272" w:rsidRPr="003E2AC4">
              <w:rPr>
                <w:rFonts w:ascii="Tahoma" w:hAnsi="Tahoma" w:cs="Tahoma"/>
                <w:sz w:val="16"/>
                <w:lang w:val="sr-Cyrl-BA"/>
              </w:rPr>
              <w:t>22</w:t>
            </w:r>
            <w:r w:rsidR="005D5311" w:rsidRPr="003E2AC4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E05152" w:rsidRPr="003E2AC4">
              <w:rPr>
                <w:rFonts w:ascii="Tahoma" w:hAnsi="Tahoma" w:cs="Tahoma"/>
                <w:sz w:val="16"/>
                <w:lang w:val="sr-Cyrl-CS"/>
              </w:rPr>
              <w:t>новембар</w:t>
            </w:r>
            <w:r w:rsidRPr="003E2AC4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E72BD4" w:rsidRPr="003E2AC4">
              <w:rPr>
                <w:rFonts w:ascii="Tahoma" w:hAnsi="Tahoma" w:cs="Tahoma"/>
                <w:sz w:val="16"/>
                <w:lang w:val="sr-Cyrl-BA"/>
              </w:rPr>
              <w:t>2012</w:t>
            </w:r>
            <w:r w:rsidR="005D5311" w:rsidRPr="003E2AC4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</w:p>
          <w:p w:rsidR="005D5311" w:rsidRPr="003E2AC4" w:rsidRDefault="00E05152" w:rsidP="006E2120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3E2AC4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11</w:t>
            </w:r>
            <w:r w:rsidR="005D5311" w:rsidRPr="003E2AC4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E72BD4" w:rsidRPr="003E2AC4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2</w:t>
            </w:r>
          </w:p>
        </w:tc>
      </w:tr>
      <w:tr w:rsidR="005D5311" w:rsidRPr="003E2AC4" w:rsidTr="008B47D1">
        <w:trPr>
          <w:cantSplit/>
        </w:trPr>
        <w:tc>
          <w:tcPr>
            <w:tcW w:w="5385" w:type="dxa"/>
            <w:vAlign w:val="center"/>
          </w:tcPr>
          <w:p w:rsidR="005D5311" w:rsidRPr="003E2A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3E2A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E2AC4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3E2AC4" w:rsidTr="000F7E7B">
        <w:trPr>
          <w:trHeight w:val="321"/>
          <w:jc w:val="center"/>
        </w:trPr>
        <w:tc>
          <w:tcPr>
            <w:tcW w:w="10319" w:type="dxa"/>
            <w:shd w:val="clear" w:color="auto" w:fill="336699"/>
          </w:tcPr>
          <w:p w:rsidR="00193339" w:rsidRPr="00B0539B" w:rsidRDefault="00E05152" w:rsidP="00EF319F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B0539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новембар</w:t>
            </w:r>
            <w:r w:rsidR="007E158B" w:rsidRPr="00B0539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E72BD4" w:rsidRPr="00B0539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B0539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3E2AC4" w:rsidTr="000F7E7B">
        <w:trPr>
          <w:trHeight w:val="264"/>
          <w:jc w:val="center"/>
        </w:trPr>
        <w:tc>
          <w:tcPr>
            <w:tcW w:w="10319" w:type="dxa"/>
            <w:shd w:val="clear" w:color="auto" w:fill="336699"/>
          </w:tcPr>
          <w:p w:rsidR="00193339" w:rsidRPr="00B0539B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B0539B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E7B08" w:rsidRDefault="007E7B08" w:rsidP="006D0DE6">
      <w:pPr>
        <w:rPr>
          <w:rFonts w:ascii="Tahoma" w:hAnsi="Tahoma" w:cs="Tahoma"/>
          <w:b/>
          <w:color w:val="FF0000"/>
          <w:sz w:val="28"/>
          <w:szCs w:val="28"/>
        </w:rPr>
      </w:pPr>
    </w:p>
    <w:p w:rsidR="007E7B08" w:rsidRPr="00AB59E7" w:rsidRDefault="007E7B08" w:rsidP="004B1B4B">
      <w:pPr>
        <w:spacing w:after="120"/>
        <w:rPr>
          <w:rFonts w:ascii="Tahoma" w:hAnsi="Tahoma" w:cs="Tahoma"/>
          <w:b/>
          <w:sz w:val="28"/>
          <w:szCs w:val="28"/>
          <w:lang w:val="sr-Cyrl-CS"/>
        </w:rPr>
      </w:pPr>
      <w:r w:rsidRPr="00AB59E7">
        <w:rPr>
          <w:rFonts w:ascii="Tahoma" w:hAnsi="Tahoma" w:cs="Tahoma"/>
          <w:b/>
          <w:sz w:val="28"/>
          <w:szCs w:val="28"/>
          <w:lang w:val="sr-Cyrl-CS"/>
        </w:rPr>
        <w:t>Стопа реалног раста БДП за 2011. годину 0,8% (коначни подаци)</w:t>
      </w:r>
    </w:p>
    <w:p w:rsidR="007E7B08" w:rsidRPr="004B1B4B" w:rsidRDefault="007E7B08" w:rsidP="004B1B4B">
      <w:pPr>
        <w:spacing w:after="120"/>
        <w:rPr>
          <w:rFonts w:ascii="Tahoma" w:hAnsi="Tahoma" w:cs="Tahoma"/>
          <w:sz w:val="24"/>
          <w:szCs w:val="24"/>
        </w:rPr>
      </w:pPr>
      <w:r w:rsidRPr="00AB59E7">
        <w:rPr>
          <w:rFonts w:ascii="Tahoma" w:hAnsi="Tahoma" w:cs="Tahoma"/>
          <w:sz w:val="24"/>
          <w:szCs w:val="24"/>
          <w:lang w:val="sr-Cyrl-CS"/>
        </w:rPr>
        <w:t xml:space="preserve"> У односу на 2010. годину, БДП номинално већи </w:t>
      </w:r>
      <w:r w:rsidRPr="00AB59E7">
        <w:rPr>
          <w:rFonts w:ascii="Tahoma" w:hAnsi="Tahoma" w:cs="Tahoma"/>
          <w:sz w:val="24"/>
          <w:szCs w:val="24"/>
          <w:lang w:val="sr-Cyrl-BA"/>
        </w:rPr>
        <w:t>4,3</w:t>
      </w:r>
      <w:r w:rsidRPr="00AB59E7">
        <w:rPr>
          <w:rFonts w:ascii="Tahoma" w:hAnsi="Tahoma" w:cs="Tahoma"/>
          <w:sz w:val="24"/>
          <w:szCs w:val="24"/>
          <w:lang w:val="sr-Cyrl-CS"/>
        </w:rPr>
        <w:t>% (коначни подаци)</w:t>
      </w:r>
    </w:p>
    <w:tbl>
      <w:tblPr>
        <w:tblW w:w="10462" w:type="dxa"/>
        <w:jc w:val="center"/>
        <w:tblCellMar>
          <w:left w:w="0" w:type="dxa"/>
          <w:right w:w="0" w:type="dxa"/>
        </w:tblCellMar>
        <w:tblLook w:val="0000"/>
      </w:tblPr>
      <w:tblGrid>
        <w:gridCol w:w="10462"/>
      </w:tblGrid>
      <w:tr w:rsidR="007E7B08" w:rsidRPr="00AB59E7" w:rsidTr="007E7B08">
        <w:trPr>
          <w:trHeight w:hRule="exact" w:val="794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AB59E7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Бруто домаћи производ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за 2011. годину, обрачунат примјеном „Производне методе“, исказан у текућим цијенама као конач</w:t>
            </w:r>
            <w:r w:rsidRPr="00AB59E7">
              <w:rPr>
                <w:rFonts w:ascii="Tahoma" w:hAnsi="Tahoma" w:cs="Tahoma"/>
                <w:sz w:val="18"/>
                <w:szCs w:val="18"/>
              </w:rPr>
              <w:t>a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н податак, износи </w:t>
            </w:r>
            <w:r w:rsidRPr="00AB59E7">
              <w:rPr>
                <w:rFonts w:ascii="Tahoma" w:hAnsi="Tahoma" w:cs="Tahoma"/>
                <w:sz w:val="18"/>
                <w:szCs w:val="18"/>
                <w:lang w:val="ru-RU"/>
              </w:rPr>
              <w:t>8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668 712 КМ, односно 6 063 КМ по становнику</w:t>
            </w:r>
            <w:r w:rsidRPr="00AB59E7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У односу на 2010. годину, бруто домаћи производ  је  номинално већи за</w:t>
            </w:r>
            <w:r w:rsidRPr="00AB59E7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4,3%, а</w:t>
            </w:r>
            <w:r w:rsidRPr="00AB59E7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реално за 0,8%</w:t>
            </w:r>
            <w:r w:rsidRPr="00AB59E7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7E7B08" w:rsidRPr="00AB59E7" w:rsidRDefault="007E7B08" w:rsidP="007E7B08">
            <w:pPr>
              <w:ind w:left="8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7E7B08" w:rsidRPr="00AB59E7" w:rsidTr="007E7B08">
        <w:trPr>
          <w:trHeight w:hRule="exact" w:val="817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У структури бруто домаћег производа најзначајниј</w:t>
            </w:r>
            <w:r w:rsidRPr="00AB59E7">
              <w:rPr>
                <w:rFonts w:ascii="Tahoma" w:hAnsi="Tahoma" w:cs="Tahoma"/>
                <w:sz w:val="18"/>
                <w:szCs w:val="18"/>
              </w:rPr>
              <w:t>e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учешће има подручје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Трговине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12,0%, затим слиједи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Пољопривреда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10,2%,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Државна управа, одбрана и обавезно социјално осигурање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10,1 %, потом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Прерађивачка индустрија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9,0%,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Пословање некретнинама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изнајмљивање и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пословне дјелатности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са 8,7%, итд.</w:t>
            </w:r>
          </w:p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7E7B08" w:rsidRPr="00AB59E7" w:rsidTr="007E7B08">
        <w:trPr>
          <w:trHeight w:hRule="exact" w:val="1207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Највећи реални раст по подручјима дјелатности забиљежен је у подручјима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Вађење руда и камена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17,3%,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Рибарство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4,7%,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Образовање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4,2 %,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Остале јавне, комуналне, друштвене, социјалне и личне услужне дјелатности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AB59E7">
              <w:rPr>
                <w:rFonts w:ascii="Tahoma" w:hAnsi="Tahoma" w:cs="Tahoma"/>
                <w:sz w:val="18"/>
                <w:szCs w:val="18"/>
              </w:rPr>
              <w:t>3,9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Здравствени и социјални рад 3,6%, 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Прерађивачка индустрија 3,2%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Финансијско посредовање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3,0%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,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док је негативна стопа раста забиљежена у подручјима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Грађевинарство</w:t>
            </w:r>
            <w:r w:rsidRPr="00AB59E7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(–4,3%), 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Пољопривреда, лов и шумарство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(-4,0%)</w:t>
            </w:r>
            <w:r w:rsidRPr="00AB59E7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и Пословање некретнинама, изнајмљивање и пословне дјелатности (-1,0%).</w:t>
            </w:r>
          </w:p>
        </w:tc>
      </w:tr>
      <w:tr w:rsidR="007E7B08" w:rsidRPr="00AB59E7" w:rsidTr="007E7B08">
        <w:trPr>
          <w:trHeight w:hRule="exact" w:val="794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Према доходовном приступу, у структури  бруто домаћег производа на средства за запослене се односи 4</w:t>
            </w:r>
            <w:r w:rsidRPr="00AB59E7">
              <w:rPr>
                <w:rFonts w:ascii="Tahoma" w:hAnsi="Tahoma" w:cs="Tahoma"/>
                <w:sz w:val="18"/>
                <w:szCs w:val="18"/>
                <w:lang w:val="sr-Latn-CS"/>
              </w:rPr>
              <w:t>8,6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%, на потрошњу фиксног капитала 14,</w:t>
            </w:r>
            <w:r w:rsidRPr="00AB59E7">
              <w:rPr>
                <w:rFonts w:ascii="Tahoma" w:hAnsi="Tahoma" w:cs="Tahoma"/>
                <w:sz w:val="18"/>
                <w:szCs w:val="18"/>
                <w:lang w:val="sr-Cyrl-BA"/>
              </w:rPr>
              <w:t>2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%, нето порези на производњу су -0,</w:t>
            </w:r>
            <w:r w:rsidRPr="00AB59E7">
              <w:rPr>
                <w:rFonts w:ascii="Tahoma" w:hAnsi="Tahoma" w:cs="Tahoma"/>
                <w:sz w:val="18"/>
                <w:szCs w:val="18"/>
                <w:lang w:val="sr-Latn-CS"/>
              </w:rPr>
              <w:t>1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а за нето оперативни вишак и нето мјешовити доходак остаје </w:t>
            </w:r>
            <w:r w:rsidRPr="00AB59E7">
              <w:rPr>
                <w:rFonts w:ascii="Tahoma" w:hAnsi="Tahoma" w:cs="Tahoma"/>
                <w:sz w:val="18"/>
                <w:szCs w:val="18"/>
                <w:lang w:val="sr-Latn-CS"/>
              </w:rPr>
              <w:t>19,</w:t>
            </w:r>
            <w:r w:rsidRPr="00AB59E7">
              <w:rPr>
                <w:rFonts w:ascii="Tahoma" w:hAnsi="Tahoma" w:cs="Tahoma"/>
                <w:sz w:val="18"/>
                <w:szCs w:val="18"/>
              </w:rPr>
              <w:t>4</w:t>
            </w:r>
            <w:r w:rsidRPr="00AB59E7">
              <w:rPr>
                <w:rFonts w:ascii="Tahoma" w:hAnsi="Tahoma" w:cs="Tahoma"/>
                <w:sz w:val="18"/>
                <w:szCs w:val="18"/>
                <w:lang w:val="sr-Cyrl-CS"/>
              </w:rPr>
              <w:t>%.</w:t>
            </w:r>
          </w:p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7E7B08" w:rsidRPr="00AB59E7" w:rsidRDefault="007E7B08" w:rsidP="007E7B08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AB59E7" w:rsidRPr="006D0DE6" w:rsidRDefault="00AB59E7" w:rsidP="00AB59E7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6D0DE6" w:rsidRPr="008928E0" w:rsidRDefault="006D0DE6" w:rsidP="004B1B4B">
      <w:pPr>
        <w:tabs>
          <w:tab w:val="left" w:pos="1134"/>
        </w:tabs>
        <w:spacing w:after="120"/>
        <w:jc w:val="both"/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</w:pPr>
      <w:r w:rsidRPr="008928E0"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  <w:t>П</w:t>
      </w:r>
      <w:r w:rsidRPr="008928E0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росјечна</w:t>
      </w:r>
      <w:r w:rsidRPr="008928E0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</w:t>
      </w:r>
      <w:r w:rsidRPr="008928E0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мјесечна нето плата</w:t>
      </w:r>
      <w:r w:rsidRPr="008928E0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</w:t>
      </w:r>
      <w:r w:rsidRPr="008928E0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817 КМ</w:t>
      </w:r>
    </w:p>
    <w:p w:rsidR="006D0DE6" w:rsidRPr="008928E0" w:rsidRDefault="006D0DE6" w:rsidP="004B1B4B">
      <w:pPr>
        <w:tabs>
          <w:tab w:val="left" w:pos="1134"/>
        </w:tabs>
        <w:spacing w:after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8928E0">
        <w:rPr>
          <w:rFonts w:ascii="Tahoma" w:hAnsi="Tahoma" w:cs="Tahoma"/>
          <w:b/>
          <w:color w:val="000000" w:themeColor="text1"/>
          <w:sz w:val="24"/>
          <w:szCs w:val="24"/>
          <w:lang w:val="sr-Cyrl-CS"/>
        </w:rPr>
        <w:t>Просјечна</w:t>
      </w:r>
      <w:r w:rsidRPr="008928E0">
        <w:rPr>
          <w:rFonts w:ascii="Tahoma" w:hAnsi="Tahoma" w:cs="Tahoma"/>
          <w:b/>
          <w:color w:val="000000" w:themeColor="text1"/>
          <w:sz w:val="24"/>
          <w:szCs w:val="24"/>
          <w:lang w:val="ru-RU"/>
        </w:rPr>
        <w:t xml:space="preserve"> </w:t>
      </w:r>
      <w:r w:rsidRPr="008928E0">
        <w:rPr>
          <w:rFonts w:ascii="Tahoma" w:hAnsi="Tahoma" w:cs="Tahoma"/>
          <w:b/>
          <w:color w:val="000000" w:themeColor="text1"/>
          <w:sz w:val="24"/>
          <w:szCs w:val="24"/>
          <w:lang w:val="sr-Cyrl-CS"/>
        </w:rPr>
        <w:t>мјесечна бруто плата</w:t>
      </w:r>
      <w:r w:rsidRPr="008928E0">
        <w:rPr>
          <w:rFonts w:ascii="Tahoma" w:hAnsi="Tahoma" w:cs="Tahoma"/>
          <w:b/>
          <w:color w:val="000000" w:themeColor="text1"/>
          <w:sz w:val="24"/>
          <w:szCs w:val="24"/>
          <w:lang w:val="ru-RU"/>
        </w:rPr>
        <w:t xml:space="preserve"> </w:t>
      </w:r>
      <w:r w:rsidRPr="008928E0">
        <w:rPr>
          <w:rFonts w:ascii="Tahoma" w:hAnsi="Tahoma" w:cs="Tahoma"/>
          <w:b/>
          <w:color w:val="000000" w:themeColor="text1"/>
          <w:sz w:val="24"/>
          <w:szCs w:val="24"/>
          <w:lang w:val="sr-Cyrl-CS"/>
        </w:rPr>
        <w:t xml:space="preserve">1 349 КМ </w:t>
      </w:r>
    </w:p>
    <w:p w:rsidR="006D0DE6" w:rsidRPr="008928E0" w:rsidRDefault="006D0DE6" w:rsidP="006D0DE6">
      <w:pPr>
        <w:tabs>
          <w:tab w:val="left" w:pos="1134"/>
        </w:tabs>
        <w:spacing w:after="120"/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Просјечна нето плата исплаћена у октобру 2012. године у односу на септембар 2012. године већа је номинално за 1,7% а реално за 0,6%. У односу на просјечну нето плату у 2011. години, просјечна нето плата у октобру 2012. године већа је номинално за 1,1%, а реално мања за 1,9%. У октобру 2012. године у односу на исти мјесец прошле године просјечна нето плата номинално је већа за 2,0% док је 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BA"/>
        </w:rPr>
        <w:t>реално мања за 0,4%.</w:t>
      </w:r>
    </w:p>
    <w:p w:rsidR="006D0DE6" w:rsidRPr="008928E0" w:rsidRDefault="006D0DE6" w:rsidP="006D0DE6">
      <w:pPr>
        <w:tabs>
          <w:tab w:val="left" w:pos="1134"/>
        </w:tabs>
        <w:spacing w:after="120"/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Највиша просјечна нето плата у октобру 2012. године, посматрано по подручјима дјелатности, исплаћена је у подручју 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Финансијско посредовање 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и износи 1 300 КМ, а најнижа у подручју 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Угоститељство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561 КМ.</w:t>
      </w:r>
    </w:p>
    <w:p w:rsidR="006D0DE6" w:rsidRPr="008928E0" w:rsidRDefault="006D0DE6" w:rsidP="006D0DE6">
      <w:pPr>
        <w:spacing w:after="120"/>
        <w:jc w:val="both"/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</w:pP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У октобру 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ru-RU"/>
        </w:rPr>
        <w:t>2012. године, у односу на септембар 2012. године, н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Вађење руде и камена 5,6%, Образовање 3,8%, Финансијско посредовање 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BA"/>
        </w:rPr>
        <w:t>2,2%,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>док је номинално нижа плата у подручјима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Рибарство 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>4,0%, Здравство 2,8%,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Пољопривреда, лов и шумарство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0,8% и 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Пословање некретнинама</w:t>
      </w:r>
      <w:r w:rsidRPr="008928E0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0,5%.</w:t>
      </w:r>
      <w:r w:rsidRPr="008928E0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</w:t>
      </w:r>
    </w:p>
    <w:p w:rsidR="00AB59E7" w:rsidRPr="003E2AC4" w:rsidRDefault="00AB59E7" w:rsidP="006D0DE6">
      <w:pPr>
        <w:spacing w:after="120"/>
        <w:jc w:val="both"/>
        <w:rPr>
          <w:rFonts w:ascii="Tahoma" w:hAnsi="Tahoma" w:cs="Tahoma"/>
          <w:b/>
          <w:sz w:val="28"/>
          <w:szCs w:val="28"/>
        </w:rPr>
      </w:pPr>
    </w:p>
    <w:p w:rsidR="00AB59E7" w:rsidRPr="003E2AC4" w:rsidRDefault="00342221" w:rsidP="00AB59E7">
      <w:pPr>
        <w:ind w:left="-142"/>
        <w:jc w:val="center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411.85pt;margin-top:12.35pt;width:122.25pt;height:29.25pt;z-index:251659264" filled="f" stroked="f">
            <v:textbox>
              <w:txbxContent>
                <w:p w:rsidR="00395034" w:rsidRDefault="00395034">
                  <w:pP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Просјечна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плата</w:t>
                  </w:r>
                  <w:proofErr w:type="spellEnd"/>
                </w:p>
                <w:p w:rsidR="00395034" w:rsidRPr="008928E0" w:rsidRDefault="00395034">
                  <w:pP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запослених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6D0DE6" w:rsidRPr="006D0DE6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494362" cy="2536166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9E7" w:rsidRPr="003E2AC4" w:rsidRDefault="00AB59E7" w:rsidP="00AB59E7">
      <w:pPr>
        <w:ind w:left="-142"/>
        <w:jc w:val="center"/>
        <w:outlineLvl w:val="0"/>
        <w:rPr>
          <w:rFonts w:ascii="Tahoma" w:hAnsi="Tahoma" w:cs="Tahoma"/>
          <w:sz w:val="16"/>
          <w:lang w:val="sr-Cyrl-CS"/>
        </w:rPr>
      </w:pPr>
      <w:r w:rsidRPr="003E2AC4">
        <w:rPr>
          <w:rFonts w:ascii="Tahoma" w:hAnsi="Tahoma" w:cs="Tahoma"/>
          <w:sz w:val="16"/>
          <w:szCs w:val="16"/>
          <w:lang w:val="sr-Cyrl-BA"/>
        </w:rPr>
        <w:t>Графикон 1</w:t>
      </w:r>
      <w:r w:rsidRPr="003E2AC4">
        <w:rPr>
          <w:rFonts w:ascii="Tahoma" w:hAnsi="Tahoma" w:cs="Tahoma"/>
          <w:sz w:val="16"/>
          <w:szCs w:val="16"/>
          <w:lang w:val="ru-RU"/>
        </w:rPr>
        <w:t>.</w:t>
      </w:r>
      <w:r w:rsidRPr="003E2AC4">
        <w:rPr>
          <w:rFonts w:ascii="Tahoma" w:hAnsi="Tahoma" w:cs="Tahoma"/>
          <w:sz w:val="16"/>
          <w:szCs w:val="16"/>
          <w:lang w:val="sr-Cyrl-BA"/>
        </w:rPr>
        <w:t xml:space="preserve"> </w:t>
      </w:r>
      <w:r w:rsidRPr="003E2AC4">
        <w:rPr>
          <w:rFonts w:ascii="Tahoma" w:hAnsi="Tahoma" w:cs="Tahoma"/>
          <w:sz w:val="16"/>
          <w:lang w:val="sr-Cyrl-CS"/>
        </w:rPr>
        <w:t>П</w:t>
      </w:r>
      <w:r w:rsidRPr="003E2AC4">
        <w:rPr>
          <w:rFonts w:ascii="Tahoma" w:hAnsi="Tahoma" w:cs="Tahoma"/>
          <w:sz w:val="16"/>
          <w:lang w:val="ru-RU"/>
        </w:rPr>
        <w:t>росјечн</w:t>
      </w:r>
      <w:r w:rsidRPr="003E2AC4">
        <w:rPr>
          <w:rFonts w:ascii="Tahoma" w:hAnsi="Tahoma" w:cs="Tahoma"/>
          <w:sz w:val="16"/>
        </w:rPr>
        <w:t>e</w:t>
      </w:r>
      <w:r w:rsidRPr="003E2AC4">
        <w:rPr>
          <w:rFonts w:ascii="Tahoma" w:hAnsi="Tahoma" w:cs="Tahoma"/>
          <w:sz w:val="16"/>
          <w:lang w:val="ru-RU"/>
        </w:rPr>
        <w:t xml:space="preserve"> нето плат</w:t>
      </w:r>
      <w:r w:rsidRPr="003E2AC4">
        <w:rPr>
          <w:rFonts w:ascii="Tahoma" w:hAnsi="Tahoma" w:cs="Tahoma"/>
          <w:sz w:val="16"/>
        </w:rPr>
        <w:t>e</w:t>
      </w:r>
      <w:r w:rsidRPr="003E2AC4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DC3BA1" w:rsidRPr="004B1B4B" w:rsidRDefault="00AB59E7" w:rsidP="004B1B4B">
      <w:pPr>
        <w:jc w:val="both"/>
        <w:outlineLvl w:val="0"/>
        <w:rPr>
          <w:rFonts w:ascii="Tahoma" w:hAnsi="Tahoma" w:cs="Tahoma"/>
          <w:sz w:val="16"/>
          <w:szCs w:val="16"/>
          <w:lang w:val="sr-Cyrl-CS"/>
        </w:rPr>
      </w:pPr>
      <w:r w:rsidRPr="003E2AC4">
        <w:rPr>
          <w:rFonts w:ascii="Tahoma" w:hAnsi="Tahoma" w:cs="Tahoma"/>
          <w:sz w:val="16"/>
          <w:szCs w:val="16"/>
          <w:lang w:val="sr-Cyrl-BA"/>
        </w:rPr>
        <w:lastRenderedPageBreak/>
        <w:t xml:space="preserve">                                                </w:t>
      </w:r>
      <w:r w:rsidR="005E0301" w:rsidRPr="003E2AC4">
        <w:rPr>
          <w:rFonts w:ascii="Tahoma" w:hAnsi="Tahoma" w:cs="Tahoma"/>
          <w:b/>
          <w:sz w:val="16"/>
          <w:szCs w:val="16"/>
          <w:lang w:val="ru-RU"/>
        </w:rPr>
        <w:t xml:space="preserve">     </w:t>
      </w:r>
    </w:p>
    <w:p w:rsidR="00E05152" w:rsidRPr="003E2AC4" w:rsidRDefault="00E05152" w:rsidP="003E2AC4">
      <w:pPr>
        <w:spacing w:after="120"/>
        <w:rPr>
          <w:rFonts w:ascii="Tahoma" w:hAnsi="Tahoma" w:cs="Tahoma"/>
          <w:b/>
          <w:sz w:val="28"/>
          <w:szCs w:val="28"/>
        </w:rPr>
      </w:pPr>
      <w:r w:rsidRPr="003E2AC4">
        <w:rPr>
          <w:rFonts w:ascii="Tahoma" w:hAnsi="Tahoma" w:cs="Tahoma"/>
          <w:b/>
          <w:sz w:val="28"/>
          <w:szCs w:val="28"/>
          <w:lang w:val="sr-Cyrl-BA"/>
        </w:rPr>
        <w:t>Мјесечна инфлација у октобру 2012. године 1,1%</w:t>
      </w:r>
    </w:p>
    <w:p w:rsidR="00E05152" w:rsidRPr="003E2AC4" w:rsidRDefault="00E05152" w:rsidP="003E2AC4">
      <w:pPr>
        <w:spacing w:after="120"/>
        <w:rPr>
          <w:rFonts w:ascii="Tahoma" w:hAnsi="Tahoma" w:cs="Tahoma"/>
          <w:b/>
          <w:sz w:val="28"/>
          <w:szCs w:val="28"/>
        </w:rPr>
      </w:pPr>
      <w:r w:rsidRPr="003E2AC4">
        <w:rPr>
          <w:rFonts w:ascii="Tahoma" w:hAnsi="Tahoma" w:cs="Tahoma"/>
          <w:b/>
          <w:sz w:val="28"/>
          <w:szCs w:val="28"/>
          <w:lang w:val="sr-Cyrl-BA"/>
        </w:rPr>
        <w:t>Годишња инфлација (октобар 2012 /октобар 2011) 2,4%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октобру 2012. године у односу на септембар 2012. године, у просјеку су више за 1,1%. </w:t>
      </w:r>
      <w:r w:rsidRPr="003E2AC4">
        <w:rPr>
          <w:rFonts w:ascii="Tahoma" w:hAnsi="Tahoma" w:cs="Tahoma"/>
          <w:b/>
          <w:sz w:val="18"/>
          <w:szCs w:val="18"/>
          <w:lang w:val="sr-Cyrl-BA"/>
        </w:rPr>
        <w:t xml:space="preserve">Овакаво кретање цијена резултирало је преласком обрачуна електричне енергије са љетне на зимску тарифу, што је узроковало раст цијена у одјељку </w:t>
      </w:r>
      <w:r w:rsidRPr="003E2AC4">
        <w:rPr>
          <w:rFonts w:ascii="Tahoma" w:hAnsi="Tahoma" w:cs="Tahoma"/>
          <w:b/>
          <w:i/>
          <w:sz w:val="18"/>
          <w:szCs w:val="18"/>
          <w:lang w:val="sr-Cyrl-BA"/>
        </w:rPr>
        <w:t xml:space="preserve">Становање </w:t>
      </w:r>
      <w:r w:rsidRPr="003E2AC4">
        <w:rPr>
          <w:rFonts w:ascii="Tahoma" w:hAnsi="Tahoma" w:cs="Tahoma"/>
          <w:b/>
          <w:sz w:val="18"/>
          <w:szCs w:val="18"/>
          <w:lang w:val="sr-Cyrl-BA"/>
        </w:rPr>
        <w:t>10,9%</w:t>
      </w:r>
      <w:r w:rsidR="003E2AC4" w:rsidRPr="003E2AC4">
        <w:rPr>
          <w:rFonts w:ascii="Tahoma" w:hAnsi="Tahoma" w:cs="Tahoma"/>
          <w:b/>
          <w:sz w:val="18"/>
          <w:szCs w:val="18"/>
        </w:rPr>
        <w:t>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 xml:space="preserve">Забиљежен је раст код 5 од укупно 12 одјељака. Највећи утицај на укупан раст цијена у октобру је поред одјељка Становање имао раст цијена у одјељку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3E2AC4">
        <w:rPr>
          <w:rFonts w:ascii="Tahoma" w:hAnsi="Tahoma" w:cs="Tahoma"/>
          <w:sz w:val="18"/>
          <w:szCs w:val="18"/>
          <w:lang w:val="sr-Cyrl-BA"/>
        </w:rPr>
        <w:t>0,7%.</w:t>
      </w:r>
    </w:p>
    <w:p w:rsidR="00E05152" w:rsidRPr="003E2AC4" w:rsidRDefault="00E05152" w:rsidP="003E2AC4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на раст цијена од 0,7%, гдје група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Храна </w:t>
      </w:r>
      <w:r w:rsidRPr="003E2AC4">
        <w:rPr>
          <w:rFonts w:ascii="Tahoma" w:hAnsi="Tahoma" w:cs="Tahoma"/>
          <w:sz w:val="18"/>
          <w:szCs w:val="18"/>
          <w:lang w:val="sr-Cyrl-BA"/>
        </w:rPr>
        <w:t>биљежи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раст 1,0% највећи утицај је имало повећање цијена јестивог уља 11,3%, свињске масти 5,8%, кокошијих јаја 5,4%, поврћа 3,7%, шећера 2,8%, маслаца 2,8%, тјестенине 1,1%, свјежег млијека 0,8%, меса 0,5% (свињетина 1,2%, пилетина 1,1%,  јунетина 0,9%), хљеба 0,2%. На групу Храна утицало је и повећање цијена кухињске соли 0,7%, затим конзервисане и прерађене рибе за 0,3%, као и свјеже и смрзнуте рибе за 0,1%. </w:t>
      </w:r>
      <w:r w:rsidRPr="003E2AC4">
        <w:rPr>
          <w:rFonts w:ascii="Tahoma" w:eastAsia="Calibri" w:hAnsi="Tahoma" w:cs="Tahoma"/>
          <w:sz w:val="18"/>
          <w:szCs w:val="18"/>
          <w:lang w:val="sr-Cyrl-BA"/>
        </w:rPr>
        <w:t xml:space="preserve">У групи </w:t>
      </w:r>
      <w:r w:rsidRPr="003E2AC4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3E2AC4">
        <w:rPr>
          <w:rFonts w:ascii="Tahoma" w:eastAsia="Calibri" w:hAnsi="Tahoma" w:cs="Tahoma"/>
          <w:sz w:val="18"/>
          <w:szCs w:val="18"/>
          <w:lang w:val="sr-Cyrl-BA"/>
        </w:rPr>
        <w:t>цијене су у просјеку ниже за 1,3% због ниже цијене кафе за 2,9% и чаја 0,3%.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У одјељку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 </w:t>
      </w:r>
      <w:r w:rsidRPr="003E2AC4">
        <w:rPr>
          <w:rFonts w:ascii="Tahoma" w:hAnsi="Tahoma" w:cs="Tahoma"/>
          <w:sz w:val="18"/>
          <w:szCs w:val="18"/>
          <w:lang w:val="sr-Cyrl-BA"/>
        </w:rPr>
        <w:t>забиљежен је раст цијена 0,2% усљед повећања цијена пива 0,5% и поскупљења Walter Wolf цигарета.</w:t>
      </w:r>
    </w:p>
    <w:p w:rsidR="00E05152" w:rsidRPr="003E2AC4" w:rsidRDefault="00E05152" w:rsidP="003E2AC4">
      <w:pPr>
        <w:spacing w:after="120"/>
        <w:jc w:val="both"/>
        <w:rPr>
          <w:rFonts w:ascii="Calibri" w:hAnsi="Calibri" w:cs="Arial"/>
          <w:sz w:val="18"/>
          <w:szCs w:val="18"/>
          <w:lang w:eastAsia="sr-Latn-BA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У одјељку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и услуге  </w:t>
      </w:r>
      <w:r w:rsidRPr="003E2AC4">
        <w:rPr>
          <w:rFonts w:ascii="Tahoma" w:hAnsi="Tahoma" w:cs="Tahoma"/>
          <w:sz w:val="18"/>
          <w:szCs w:val="18"/>
          <w:lang w:val="sr-Cyrl-BA"/>
        </w:rPr>
        <w:t>забиљежен је раст цијена 0,2% усљед повећања</w:t>
      </w:r>
      <w:r w:rsidRPr="003E2AC4">
        <w:rPr>
          <w:rFonts w:ascii="Calibri" w:hAnsi="Calibri" w:cs="Arial"/>
          <w:sz w:val="18"/>
          <w:szCs w:val="18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цијена дезодоранса</w:t>
      </w:r>
      <w:r w:rsidRPr="003E2AC4">
        <w:rPr>
          <w:rFonts w:ascii="Tahoma" w:hAnsi="Tahoma" w:cs="Tahoma"/>
          <w:sz w:val="18"/>
          <w:szCs w:val="18"/>
          <w:lang w:eastAsia="sr-Latn-BA"/>
        </w:rPr>
        <w:t>,</w:t>
      </w:r>
      <w:r w:rsidRPr="003E2AC4">
        <w:rPr>
          <w:rFonts w:ascii="Tahoma" w:hAnsi="Tahoma" w:cs="Tahoma"/>
          <w:sz w:val="18"/>
          <w:szCs w:val="18"/>
          <w:lang w:val="sr-Cyrl-BA" w:eastAsia="sr-Latn-BA"/>
        </w:rPr>
        <w:t xml:space="preserve"> лакова за косу, фарбе за косу за 1,7% као и осталих производа за личну хигијену (тоалетни папир, хигијенски улошци, пелене за једнократну употребу и сл.) за 0,3%.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И</w:t>
      </w:r>
      <w:r w:rsidRPr="003E2AC4">
        <w:rPr>
          <w:rFonts w:ascii="Tahoma" w:eastAsia="Calibri" w:hAnsi="Tahoma" w:cs="Tahoma"/>
          <w:sz w:val="18"/>
          <w:szCs w:val="18"/>
          <w:lang w:val="sr-Cyrl-BA"/>
        </w:rPr>
        <w:t xml:space="preserve"> одјељак </w:t>
      </w:r>
      <w:r w:rsidRPr="003E2AC4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3E2AC4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0,1% због виших цијена фармацеутских производа за 0,1%.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 xml:space="preserve">У одјељцима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>Намјештај и покућство,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>Комуникације,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3E2AC4">
        <w:rPr>
          <w:rFonts w:ascii="Tahoma" w:eastAsia="Calibri" w:hAnsi="Tahoma" w:cs="Tahoma"/>
          <w:i/>
          <w:sz w:val="18"/>
          <w:szCs w:val="18"/>
          <w:lang w:val="sr-Cyrl-BA"/>
        </w:rPr>
        <w:t>Рекреација и култура, Образовање и Ресторани и хотели</w:t>
      </w:r>
      <w:r w:rsidRPr="003E2AC4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цијене су у просјеку остале исте.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 xml:space="preserve">У октобру је дошло до појефтињења свих врста горива за 3,3% што је узроковало пад цијена у одјељку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>Превоз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за 1,9%.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3E2AC4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октобру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3E2AC4">
        <w:rPr>
          <w:rFonts w:ascii="Tahoma" w:hAnsi="Tahoma" w:cs="Tahoma"/>
          <w:sz w:val="18"/>
          <w:szCs w:val="18"/>
          <w:lang w:val="sr-Cyrl-BA"/>
        </w:rPr>
        <w:t>године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3E2AC4">
        <w:rPr>
          <w:rFonts w:ascii="Tahoma" w:hAnsi="Tahoma" w:cs="Tahoma"/>
          <w:sz w:val="18"/>
          <w:szCs w:val="18"/>
          <w:lang w:val="sr-Cyrl-BA"/>
        </w:rPr>
        <w:t>године,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за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2,4%.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Посматрано по одјељцима намјене потрошње, у октобру 2012. године у односу на октобар 2011. године, највиши раст забиљежен је  код одјељка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за 9,5%,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за 5,5%,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 Комуникације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за 4,3%,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за 2,9%,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за 0,9%,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Pr="003E2AC4">
        <w:rPr>
          <w:rFonts w:ascii="Tahoma" w:hAnsi="Tahoma" w:cs="Tahoma"/>
          <w:sz w:val="18"/>
          <w:szCs w:val="18"/>
          <w:lang w:val="sr-Cyrl-BA"/>
        </w:rPr>
        <w:t>и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услуге за 0,7%, Здравство за 0,4%, Становање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за 0,1%,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 </w:t>
      </w:r>
      <w:r w:rsidRPr="003E2AC4">
        <w:rPr>
          <w:rFonts w:ascii="Tahoma" w:hAnsi="Tahoma" w:cs="Tahoma"/>
          <w:sz w:val="18"/>
          <w:szCs w:val="18"/>
          <w:lang w:val="sr-Cyrl-BA"/>
        </w:rPr>
        <w:t>за 0,1%. Индекс одјељка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</w:t>
      </w:r>
      <w:r w:rsidRPr="003E2AC4">
        <w:rPr>
          <w:rFonts w:ascii="Tahoma" w:hAnsi="Tahoma" w:cs="Tahoma"/>
          <w:sz w:val="18"/>
          <w:szCs w:val="18"/>
          <w:lang w:val="sr-Cyrl-BA"/>
        </w:rPr>
        <w:t>у просјеку је остао непромјењен. Индекс одјељка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 </w:t>
      </w:r>
      <w:r w:rsidRPr="003E2AC4">
        <w:rPr>
          <w:rFonts w:ascii="Tahoma" w:hAnsi="Tahoma" w:cs="Tahoma"/>
          <w:sz w:val="18"/>
          <w:szCs w:val="18"/>
          <w:lang w:val="sr-Cyrl-BA"/>
        </w:rPr>
        <w:t>нижи је за 0,1%,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 xml:space="preserve"> 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3E2AC4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нижи за 3,4%.</w:t>
      </w:r>
    </w:p>
    <w:p w:rsidR="0098796E" w:rsidRPr="003E2AC4" w:rsidRDefault="0098796E" w:rsidP="004629F9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b/>
          <w:sz w:val="28"/>
          <w:szCs w:val="28"/>
        </w:rPr>
      </w:pPr>
      <w:r w:rsidRPr="003E2AC4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3E2AC4">
        <w:rPr>
          <w:rFonts w:ascii="Tahoma" w:hAnsi="Tahoma" w:cs="Tahoma"/>
          <w:b/>
          <w:sz w:val="28"/>
          <w:szCs w:val="28"/>
        </w:rPr>
        <w:t>X</w:t>
      </w:r>
      <w:r w:rsidRPr="003E2AC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3E2AC4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3E2AC4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3E2AC4">
        <w:rPr>
          <w:rFonts w:ascii="Tahoma" w:hAnsi="Tahoma" w:cs="Tahoma"/>
          <w:b/>
          <w:sz w:val="28"/>
          <w:szCs w:val="28"/>
          <w:lang w:val="sr-Latn-CS"/>
        </w:rPr>
        <w:t>IX</w:t>
      </w:r>
      <w:r w:rsidRPr="003E2AC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3E2AC4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3E2AC4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3E2AC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3E2AC4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Pr="003E2AC4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3E2AC4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E05152" w:rsidRPr="003E2AC4" w:rsidRDefault="00E05152" w:rsidP="003E2AC4">
      <w:pPr>
        <w:spacing w:after="120"/>
        <w:ind w:right="68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CS"/>
        </w:rPr>
        <w:t>Цијен</w:t>
      </w:r>
      <w:r w:rsidRPr="003E2AC4">
        <w:rPr>
          <w:rFonts w:ascii="Tahoma" w:hAnsi="Tahoma" w:cs="Tahoma"/>
          <w:sz w:val="18"/>
          <w:szCs w:val="18"/>
        </w:rPr>
        <w:t>e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3E2AC4">
        <w:rPr>
          <w:rFonts w:ascii="Tahoma" w:hAnsi="Tahoma" w:cs="Tahoma"/>
          <w:sz w:val="18"/>
          <w:szCs w:val="18"/>
        </w:rPr>
        <w:t xml:space="preserve">a </w:t>
      </w:r>
      <w:r w:rsidRPr="003E2AC4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октобру </w:t>
      </w:r>
      <w:r w:rsidRPr="003E2AC4">
        <w:rPr>
          <w:rFonts w:ascii="Tahoma" w:hAnsi="Tahoma" w:cs="Tahoma"/>
          <w:sz w:val="18"/>
          <w:szCs w:val="18"/>
          <w:lang w:val="hr-HR"/>
        </w:rPr>
        <w:t>20</w:t>
      </w:r>
      <w:r w:rsidRPr="003E2AC4">
        <w:rPr>
          <w:rFonts w:ascii="Tahoma" w:hAnsi="Tahoma" w:cs="Tahoma"/>
          <w:sz w:val="18"/>
          <w:szCs w:val="18"/>
          <w:lang w:val="sr-Cyrl-CS"/>
        </w:rPr>
        <w:t>12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3E2AC4">
        <w:rPr>
          <w:rFonts w:ascii="Tahoma" w:hAnsi="Tahoma" w:cs="Tahoma"/>
          <w:sz w:val="18"/>
          <w:szCs w:val="18"/>
          <w:lang w:val="hr-HR"/>
        </w:rPr>
        <w:t>у односу на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3E2AC4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hr-HR"/>
        </w:rPr>
        <w:t>201</w:t>
      </w:r>
      <w:r w:rsidRPr="003E2AC4">
        <w:rPr>
          <w:rFonts w:ascii="Tahoma" w:hAnsi="Tahoma" w:cs="Tahoma"/>
          <w:sz w:val="18"/>
          <w:szCs w:val="18"/>
          <w:lang w:val="sr-Cyrl-CS"/>
        </w:rPr>
        <w:t>2</w:t>
      </w:r>
      <w:r w:rsidRPr="003E2AC4">
        <w:rPr>
          <w:rFonts w:ascii="Tahoma" w:hAnsi="Tahoma" w:cs="Tahoma"/>
          <w:sz w:val="18"/>
          <w:szCs w:val="18"/>
          <w:lang w:val="hr-HR"/>
        </w:rPr>
        <w:t>.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0,1%</w:t>
      </w:r>
      <w:r w:rsidRPr="003E2AC4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3E2AC4">
        <w:rPr>
          <w:rFonts w:ascii="Tahoma" w:hAnsi="Tahoma" w:cs="Tahoma"/>
          <w:sz w:val="18"/>
          <w:szCs w:val="18"/>
          <w:lang w:val="sr-Cyrl-CS"/>
        </w:rPr>
        <w:t>у односу на октобар 2011. године више су за 0,9% и у односу на децембар 2011. године више су за 1,4%.</w:t>
      </w:r>
    </w:p>
    <w:p w:rsidR="00E05152" w:rsidRPr="003E2AC4" w:rsidRDefault="00E05152" w:rsidP="003E2AC4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Latn-CS"/>
        </w:rPr>
      </w:pPr>
      <w:r w:rsidRPr="003E2AC4">
        <w:rPr>
          <w:rFonts w:ascii="Tahoma" w:hAnsi="Tahoma" w:cs="Tahoma"/>
          <w:sz w:val="18"/>
          <w:szCs w:val="18"/>
          <w:lang w:val="hr-HR"/>
        </w:rPr>
        <w:t>Посматрано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3E2AC4">
        <w:rPr>
          <w:rFonts w:ascii="Tahoma" w:hAnsi="Tahoma" w:cs="Tahoma"/>
          <w:sz w:val="18"/>
          <w:szCs w:val="18"/>
          <w:lang w:val="hr-HR"/>
        </w:rPr>
        <w:t>о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3E2AC4">
        <w:rPr>
          <w:rFonts w:ascii="Tahoma" w:hAnsi="Tahoma" w:cs="Tahoma"/>
          <w:sz w:val="18"/>
          <w:szCs w:val="18"/>
          <w:lang w:val="hr-HR"/>
        </w:rPr>
        <w:t>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октобру </w:t>
      </w:r>
      <w:r w:rsidRPr="003E2AC4">
        <w:rPr>
          <w:rFonts w:ascii="Tahoma" w:hAnsi="Tahoma" w:cs="Tahoma"/>
          <w:sz w:val="18"/>
          <w:szCs w:val="18"/>
          <w:lang w:val="hr-HR"/>
        </w:rPr>
        <w:t>20</w:t>
      </w:r>
      <w:r w:rsidRPr="003E2AC4">
        <w:rPr>
          <w:rFonts w:ascii="Tahoma" w:hAnsi="Tahoma" w:cs="Tahoma"/>
          <w:sz w:val="18"/>
          <w:szCs w:val="18"/>
          <w:lang w:val="sr-Cyrl-CS"/>
        </w:rPr>
        <w:t>12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3E2AC4">
        <w:rPr>
          <w:rFonts w:ascii="Tahoma" w:hAnsi="Tahoma" w:cs="Tahoma"/>
          <w:sz w:val="18"/>
          <w:szCs w:val="18"/>
          <w:lang w:val="hr-HR"/>
        </w:rPr>
        <w:t>у односу на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3E2AC4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hr-HR"/>
        </w:rPr>
        <w:t>201</w:t>
      </w:r>
      <w:r w:rsidRPr="003E2AC4">
        <w:rPr>
          <w:rFonts w:ascii="Tahoma" w:hAnsi="Tahoma" w:cs="Tahoma"/>
          <w:sz w:val="18"/>
          <w:szCs w:val="18"/>
          <w:lang w:val="sr-Cyrl-CS"/>
        </w:rPr>
        <w:t>2. године цијене енергије у просјеку</w:t>
      </w:r>
      <w:r w:rsidRPr="003E2AC4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су више</w:t>
      </w:r>
      <w:r w:rsidRPr="003E2AC4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за</w:t>
      </w:r>
      <w:r w:rsidRPr="003E2AC4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0,3</w:t>
      </w:r>
      <w:r w:rsidRPr="003E2AC4">
        <w:rPr>
          <w:rFonts w:ascii="Tahoma" w:hAnsi="Tahoma" w:cs="Tahoma"/>
          <w:sz w:val="18"/>
          <w:szCs w:val="18"/>
          <w:lang w:val="sr-Latn-CS"/>
        </w:rPr>
        <w:t>%</w:t>
      </w:r>
      <w:r w:rsidRPr="003E2AC4">
        <w:rPr>
          <w:rFonts w:ascii="Tahoma" w:hAnsi="Tahoma" w:cs="Tahoma"/>
          <w:sz w:val="18"/>
          <w:szCs w:val="18"/>
          <w:lang w:val="sr-Cyrl-CS"/>
        </w:rPr>
        <w:t>, цијене нетрајних производа за широку потрошњу у просјеку</w:t>
      </w:r>
      <w:r w:rsidRPr="003E2AC4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су ниже за 0,2%, док су цијене интермедијарних производа, цијене капиталних прозвода као и цијене трајних производа за широку потрошњу у просјеку остале на истом нивоу.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3E2AC4">
        <w:rPr>
          <w:rFonts w:ascii="Tahoma" w:hAnsi="Tahoma" w:cs="Tahoma"/>
          <w:sz w:val="18"/>
          <w:szCs w:val="18"/>
          <w:lang w:val="sr-Cyrl-CS"/>
        </w:rPr>
        <w:t>Цијене интермедијарних производа, п</w:t>
      </w:r>
      <w:r w:rsidRPr="003E2AC4">
        <w:rPr>
          <w:rFonts w:ascii="Tahoma" w:hAnsi="Tahoma" w:cs="Tahoma"/>
          <w:sz w:val="18"/>
          <w:szCs w:val="18"/>
          <w:lang w:val="hr-HR"/>
        </w:rPr>
        <w:t>осматрано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3E2AC4">
        <w:rPr>
          <w:rFonts w:ascii="Tahoma" w:hAnsi="Tahoma" w:cs="Tahoma"/>
          <w:sz w:val="18"/>
          <w:szCs w:val="18"/>
          <w:lang w:val="hr-HR"/>
        </w:rPr>
        <w:t>о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октобру </w:t>
      </w:r>
      <w:r w:rsidRPr="003E2AC4">
        <w:rPr>
          <w:rFonts w:ascii="Tahoma" w:hAnsi="Tahoma" w:cs="Tahoma"/>
          <w:sz w:val="18"/>
          <w:szCs w:val="18"/>
          <w:lang w:val="hr-HR"/>
        </w:rPr>
        <w:t>20</w:t>
      </w:r>
      <w:r w:rsidRPr="003E2AC4">
        <w:rPr>
          <w:rFonts w:ascii="Tahoma" w:hAnsi="Tahoma" w:cs="Tahoma"/>
          <w:sz w:val="18"/>
          <w:szCs w:val="18"/>
          <w:lang w:val="sr-Cyrl-CS"/>
        </w:rPr>
        <w:t>12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3E2AC4">
        <w:rPr>
          <w:rFonts w:ascii="Tahoma" w:hAnsi="Tahoma" w:cs="Tahoma"/>
          <w:sz w:val="18"/>
          <w:szCs w:val="18"/>
          <w:lang w:val="hr-HR"/>
        </w:rPr>
        <w:t>у односу на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октобар 2011. године, у просјеку</w:t>
      </w:r>
      <w:r w:rsidRPr="003E2AC4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су више</w:t>
      </w:r>
      <w:r w:rsidRPr="003E2AC4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за 1,2%, цијене нетрајних производа за широку потрошњу за 0,8%, цијене енергије за 0,5%, цијене трајних производа за широку потрошњу за 0,3%, док су цијене капиталних прозвода у просјеку ниже за 0,4%.</w:t>
      </w:r>
    </w:p>
    <w:p w:rsidR="00E05152" w:rsidRPr="003E2AC4" w:rsidRDefault="00E05152" w:rsidP="003E2AC4">
      <w:pPr>
        <w:spacing w:after="120"/>
        <w:ind w:right="68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3E2AC4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3E2AC4">
        <w:rPr>
          <w:rFonts w:ascii="Tahoma" w:hAnsi="Tahoma" w:cs="Tahoma"/>
          <w:sz w:val="18"/>
          <w:szCs w:val="18"/>
          <w:lang w:val="sr-Cyrl-CS"/>
        </w:rPr>
        <w:t>PRODCOM</w:t>
      </w:r>
      <w:r w:rsidRPr="003E2AC4">
        <w:rPr>
          <w:rFonts w:ascii="Tahoma" w:hAnsi="Tahoma" w:cs="Tahoma"/>
          <w:sz w:val="18"/>
          <w:szCs w:val="18"/>
          <w:lang w:val="hr-HR"/>
        </w:rPr>
        <w:t>)</w:t>
      </w:r>
      <w:r w:rsidRPr="003E2AC4">
        <w:rPr>
          <w:rFonts w:ascii="Tahoma" w:hAnsi="Tahoma" w:cs="Tahoma"/>
          <w:sz w:val="18"/>
          <w:szCs w:val="18"/>
          <w:lang w:val="sr-Cyrl-CS"/>
        </w:rPr>
        <w:t>,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3E2AC4">
        <w:rPr>
          <w:rFonts w:ascii="Tahoma" w:hAnsi="Tahoma" w:cs="Tahoma"/>
          <w:sz w:val="18"/>
          <w:szCs w:val="18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подручја (Ц)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3E2AC4">
        <w:rPr>
          <w:rFonts w:ascii="Tahoma" w:hAnsi="Tahoma" w:cs="Tahoma"/>
          <w:sz w:val="18"/>
          <w:szCs w:val="18"/>
          <w:lang w:val="hr-HR"/>
        </w:rPr>
        <w:t>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октобру </w:t>
      </w:r>
      <w:r w:rsidRPr="003E2AC4">
        <w:rPr>
          <w:rFonts w:ascii="Tahoma" w:hAnsi="Tahoma" w:cs="Tahoma"/>
          <w:sz w:val="18"/>
          <w:szCs w:val="18"/>
          <w:lang w:val="hr-HR"/>
        </w:rPr>
        <w:t>20</w:t>
      </w:r>
      <w:r w:rsidRPr="003E2AC4">
        <w:rPr>
          <w:rFonts w:ascii="Tahoma" w:hAnsi="Tahoma" w:cs="Tahoma"/>
          <w:sz w:val="18"/>
          <w:szCs w:val="18"/>
          <w:lang w:val="sr-Cyrl-CS"/>
        </w:rPr>
        <w:t>12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3E2AC4">
        <w:rPr>
          <w:rFonts w:ascii="Tahoma" w:hAnsi="Tahoma" w:cs="Tahoma"/>
          <w:sz w:val="18"/>
          <w:szCs w:val="18"/>
          <w:lang w:val="sr-Cyrl-CS"/>
        </w:rPr>
        <w:t>године у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3E2AC4">
        <w:rPr>
          <w:rFonts w:ascii="Tahoma" w:hAnsi="Tahoma" w:cs="Tahoma"/>
          <w:sz w:val="18"/>
          <w:szCs w:val="18"/>
          <w:lang w:val="sr-Cyrl-CS"/>
        </w:rPr>
        <w:t>2</w:t>
      </w:r>
      <w:r w:rsidRPr="003E2AC4">
        <w:rPr>
          <w:rFonts w:ascii="Tahoma" w:hAnsi="Tahoma" w:cs="Tahoma"/>
          <w:sz w:val="18"/>
          <w:szCs w:val="18"/>
          <w:lang w:val="hr-HR"/>
        </w:rPr>
        <w:t>.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1,0%, док су цијене подручја (Д) прерађивачка индустрија као и цијене подручја (Е)  производња и снабдијевање електричном енергијом, гасом и водом у просјеку остале на истом нивоу.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3E2AC4">
        <w:rPr>
          <w:rFonts w:ascii="Tahoma" w:hAnsi="Tahoma" w:cs="Tahoma"/>
          <w:sz w:val="18"/>
          <w:szCs w:val="18"/>
          <w:lang w:val="bs-Cyrl-BA"/>
        </w:rPr>
        <w:t>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октобру </w:t>
      </w:r>
      <w:r w:rsidRPr="003E2AC4">
        <w:rPr>
          <w:rFonts w:ascii="Tahoma" w:hAnsi="Tahoma" w:cs="Tahoma"/>
          <w:sz w:val="18"/>
          <w:szCs w:val="18"/>
          <w:lang w:val="hr-HR"/>
        </w:rPr>
        <w:t>20</w:t>
      </w:r>
      <w:r w:rsidRPr="003E2AC4">
        <w:rPr>
          <w:rFonts w:ascii="Tahoma" w:hAnsi="Tahoma" w:cs="Tahoma"/>
          <w:sz w:val="18"/>
          <w:szCs w:val="18"/>
          <w:lang w:val="sr-Cyrl-CS"/>
        </w:rPr>
        <w:t>12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3E2AC4">
        <w:rPr>
          <w:rFonts w:ascii="Tahoma" w:hAnsi="Tahoma" w:cs="Tahoma"/>
          <w:sz w:val="18"/>
          <w:szCs w:val="18"/>
          <w:lang w:val="hr-HR"/>
        </w:rPr>
        <w:t>у односу на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3E2AC4">
        <w:rPr>
          <w:rFonts w:ascii="Tahoma" w:hAnsi="Tahoma" w:cs="Tahoma"/>
          <w:sz w:val="18"/>
          <w:szCs w:val="18"/>
          <w:lang w:val="hr-HR"/>
        </w:rPr>
        <w:t xml:space="preserve"> 20</w:t>
      </w:r>
      <w:r w:rsidRPr="003E2AC4">
        <w:rPr>
          <w:rFonts w:ascii="Tahoma" w:hAnsi="Tahoma" w:cs="Tahoma"/>
          <w:sz w:val="18"/>
          <w:szCs w:val="18"/>
          <w:lang w:val="sr-Cyrl-CS"/>
        </w:rPr>
        <w:t>11</w:t>
      </w:r>
      <w:r w:rsidRPr="003E2AC4">
        <w:rPr>
          <w:rFonts w:ascii="Tahoma" w:hAnsi="Tahoma" w:cs="Tahoma"/>
          <w:sz w:val="18"/>
          <w:szCs w:val="18"/>
          <w:lang w:val="hr-HR"/>
        </w:rPr>
        <w:t>.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3E2AC4">
        <w:rPr>
          <w:rFonts w:ascii="Tahoma" w:hAnsi="Tahoma" w:cs="Tahoma"/>
          <w:sz w:val="18"/>
          <w:szCs w:val="18"/>
        </w:rPr>
        <w:t>j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3E2AC4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1,3%, </w:t>
      </w:r>
      <w:r w:rsidRPr="003E2AC4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3E2AC4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 за 1,1%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и</w:t>
      </w:r>
      <w:r w:rsidRPr="003E2AC4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3E2AC4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3E2AC4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3E2AC4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су у просјеку остале на истом нивоу.</w:t>
      </w:r>
    </w:p>
    <w:p w:rsidR="00DE24B3" w:rsidRPr="003E2AC4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313D04" w:rsidRPr="00AB59E7" w:rsidRDefault="00313D04" w:rsidP="008928E0">
      <w:pPr>
        <w:spacing w:after="120"/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 w:rsidRPr="003E2AC4"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 xml:space="preserve">Индекс </w:t>
      </w:r>
      <w:r w:rsidRPr="003E2AC4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3E2AC4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3E2AC4">
        <w:rPr>
          <w:rFonts w:ascii="Tahoma" w:hAnsi="Tahoma" w:cs="Tahoma"/>
          <w:b/>
          <w:spacing w:val="-4"/>
          <w:sz w:val="28"/>
          <w:szCs w:val="28"/>
        </w:rPr>
        <w:t>X</w:t>
      </w:r>
      <w:r w:rsidRPr="003E2AC4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3E2AC4">
        <w:rPr>
          <w:rFonts w:ascii="Tahoma" w:hAnsi="Tahoma" w:cs="Tahoma"/>
          <w:b/>
          <w:bCs/>
          <w:sz w:val="24"/>
          <w:szCs w:val="24"/>
        </w:rPr>
        <w:sym w:font="Symbol" w:char="F0C6"/>
      </w:r>
      <w:r w:rsidRPr="003E2AC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3E2AC4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3E2AC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Pr="003E2AC4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3E2AC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3E2AC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3,</w:t>
      </w:r>
      <w:r w:rsidRPr="003E2AC4">
        <w:rPr>
          <w:rFonts w:ascii="Tahoma" w:hAnsi="Tahoma" w:cs="Tahoma"/>
          <w:b/>
          <w:bCs/>
          <w:spacing w:val="-4"/>
          <w:sz w:val="28"/>
          <w:szCs w:val="28"/>
        </w:rPr>
        <w:t>9</w:t>
      </w:r>
      <w:r w:rsidRPr="003E2AC4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313D04" w:rsidRPr="003E2AC4" w:rsidRDefault="00313D04" w:rsidP="008928E0">
      <w:pPr>
        <w:tabs>
          <w:tab w:val="left" w:pos="0"/>
          <w:tab w:val="left" w:pos="1100"/>
        </w:tabs>
        <w:spacing w:after="120"/>
        <w:jc w:val="both"/>
        <w:rPr>
          <w:rFonts w:ascii="Tahoma" w:hAnsi="Tahoma" w:cs="Tahoma"/>
          <w:sz w:val="24"/>
          <w:szCs w:val="24"/>
        </w:rPr>
      </w:pPr>
      <w:r w:rsidRPr="003E2AC4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3E2AC4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3E2AC4">
        <w:rPr>
          <w:rFonts w:ascii="Tahoma" w:hAnsi="Tahoma" w:cs="Tahoma"/>
          <w:sz w:val="24"/>
          <w:szCs w:val="24"/>
        </w:rPr>
        <w:t>X</w:t>
      </w:r>
      <w:r w:rsidRPr="003E2AC4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3E2AC4">
        <w:rPr>
          <w:rFonts w:ascii="Tahoma" w:hAnsi="Tahoma" w:cs="Tahoma"/>
          <w:sz w:val="24"/>
          <w:szCs w:val="24"/>
          <w:lang w:val="sr-Cyrl-CS"/>
        </w:rPr>
        <w:t>12</w:t>
      </w:r>
      <w:r w:rsidRPr="003E2AC4">
        <w:rPr>
          <w:rFonts w:ascii="Tahoma" w:hAnsi="Tahoma" w:cs="Tahoma"/>
          <w:sz w:val="24"/>
          <w:szCs w:val="24"/>
          <w:lang w:val="sr-Latn-BA"/>
        </w:rPr>
        <w:t>/</w:t>
      </w:r>
      <w:r w:rsidRPr="003E2AC4">
        <w:rPr>
          <w:rFonts w:ascii="Tahoma" w:hAnsi="Tahoma" w:cs="Tahoma"/>
          <w:bCs/>
          <w:sz w:val="24"/>
          <w:szCs w:val="24"/>
        </w:rPr>
        <w:sym w:font="Symbol" w:char="F0C6"/>
      </w:r>
      <w:r w:rsidRPr="003E2AC4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3E2AC4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3E2AC4">
        <w:rPr>
          <w:rFonts w:ascii="Tahoma" w:hAnsi="Tahoma" w:cs="Tahoma"/>
          <w:bCs/>
          <w:sz w:val="24"/>
          <w:szCs w:val="24"/>
          <w:lang w:val="hr-HR"/>
        </w:rPr>
        <w:t>)</w:t>
      </w:r>
      <w:r w:rsidRPr="003E2AC4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3E2AC4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3E2AC4">
        <w:rPr>
          <w:rFonts w:ascii="Tahoma" w:hAnsi="Tahoma" w:cs="Tahoma"/>
          <w:sz w:val="24"/>
          <w:szCs w:val="24"/>
        </w:rPr>
        <w:t>1</w:t>
      </w:r>
      <w:r w:rsidRPr="003E2AC4">
        <w:rPr>
          <w:rFonts w:ascii="Tahoma" w:hAnsi="Tahoma" w:cs="Tahoma"/>
          <w:sz w:val="24"/>
          <w:szCs w:val="24"/>
          <w:lang w:val="sr-Cyrl-BA"/>
        </w:rPr>
        <w:t>,</w:t>
      </w:r>
      <w:r w:rsidRPr="003E2AC4">
        <w:rPr>
          <w:rFonts w:ascii="Tahoma" w:hAnsi="Tahoma" w:cs="Tahoma"/>
          <w:sz w:val="24"/>
          <w:szCs w:val="24"/>
        </w:rPr>
        <w:t>5</w:t>
      </w:r>
      <w:r w:rsidRPr="003E2AC4">
        <w:rPr>
          <w:rFonts w:ascii="Tahoma" w:hAnsi="Tahoma" w:cs="Tahoma"/>
          <w:sz w:val="24"/>
          <w:szCs w:val="24"/>
          <w:lang w:val="ru-RU"/>
        </w:rPr>
        <w:t>%</w:t>
      </w:r>
    </w:p>
    <w:p w:rsidR="00313D04" w:rsidRPr="003E2AC4" w:rsidRDefault="00313D04" w:rsidP="003E2AC4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3E2AC4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3E2AC4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3E2AC4">
        <w:rPr>
          <w:rFonts w:ascii="Tahoma" w:hAnsi="Tahoma" w:cs="Tahoma"/>
          <w:sz w:val="18"/>
          <w:szCs w:val="18"/>
          <w:lang w:val="sr-Cyrl-CS"/>
        </w:rPr>
        <w:t>октобру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2012. године у односу на просјечну мјесечну производњу из 2011. године већа је за 3,9%, у односу на претходни мјесец текуће године већа је за 0,4%, док је у односу на исти мјесец прошле године мања за 2,7%.</w:t>
      </w:r>
    </w:p>
    <w:p w:rsidR="00313D04" w:rsidRPr="003E2AC4" w:rsidRDefault="00313D04" w:rsidP="003E2AC4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октобар 2012. године у односу на исти период </w:t>
      </w:r>
      <w:r w:rsidRPr="003E2AC4">
        <w:rPr>
          <w:rFonts w:ascii="Tahoma" w:hAnsi="Tahoma" w:cs="Tahoma"/>
          <w:sz w:val="18"/>
          <w:szCs w:val="18"/>
          <w:lang w:val="ru-RU"/>
        </w:rPr>
        <w:t>прошле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године мања је за 4,4%. У истом периоду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3E2AC4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3E2AC4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забиљежена је негативна стопа промјене 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од 3,3%,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3E2AC4">
        <w:rPr>
          <w:rFonts w:ascii="Tahoma" w:hAnsi="Tahoma" w:cs="Tahoma"/>
          <w:sz w:val="18"/>
          <w:szCs w:val="18"/>
          <w:lang w:val="ru-RU"/>
        </w:rPr>
        <w:t>подручју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E2AC4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негативна стопа промјене од 4,4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3E2AC4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негативна </w:t>
      </w:r>
      <w:r w:rsidRPr="003E2AC4">
        <w:rPr>
          <w:rFonts w:ascii="Tahoma" w:hAnsi="Tahoma" w:cs="Tahoma"/>
          <w:sz w:val="18"/>
          <w:szCs w:val="18"/>
          <w:lang w:val="sr-Cyrl-BA"/>
        </w:rPr>
        <w:t>стопа промјене од 4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,8%. </w:t>
      </w:r>
    </w:p>
    <w:p w:rsidR="00313D04" w:rsidRPr="003E2AC4" w:rsidRDefault="00313D04" w:rsidP="003E2AC4">
      <w:pPr>
        <w:tabs>
          <w:tab w:val="left" w:pos="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3E2AC4">
        <w:rPr>
          <w:rFonts w:ascii="Tahoma" w:hAnsi="Tahoma" w:cs="Tahoma"/>
          <w:sz w:val="18"/>
          <w:szCs w:val="18"/>
          <w:lang w:val="ru-RU"/>
        </w:rPr>
        <w:t>Посматрано по економској намјени индустриј</w:t>
      </w:r>
      <w:r w:rsidR="003E2AC4" w:rsidRPr="003E2AC4">
        <w:rPr>
          <w:rFonts w:ascii="Tahoma" w:hAnsi="Tahoma" w:cs="Tahoma"/>
          <w:sz w:val="18"/>
          <w:szCs w:val="18"/>
          <w:lang w:val="ru-RU"/>
        </w:rPr>
        <w:t>ских производа у периоду јануар–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октобар 2012. године у односу на исти период прошле године забиљежена је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3E2AC4">
        <w:rPr>
          <w:rFonts w:ascii="Tahoma" w:hAnsi="Tahoma" w:cs="Tahoma"/>
          <w:sz w:val="18"/>
          <w:szCs w:val="18"/>
          <w:lang w:val="ru-RU"/>
        </w:rPr>
        <w:t>енергије од 5,0%, нетрајних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од 5,2% </w:t>
      </w:r>
      <w:r w:rsidRPr="003E2AC4">
        <w:rPr>
          <w:rFonts w:ascii="Tahoma" w:hAnsi="Tahoma" w:cs="Tahoma"/>
          <w:sz w:val="18"/>
          <w:szCs w:val="18"/>
          <w:lang w:val="ru-RU"/>
        </w:rPr>
        <w:t>и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од 7,1%, </w:t>
      </w:r>
      <w:r w:rsidRPr="003E2AC4">
        <w:rPr>
          <w:rFonts w:ascii="Tahoma" w:hAnsi="Tahoma" w:cs="Tahoma"/>
          <w:sz w:val="18"/>
          <w:szCs w:val="18"/>
          <w:lang w:val="sr-Cyrl-BA"/>
        </w:rPr>
        <w:t>док је код капиталних производа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3E2AC4">
        <w:rPr>
          <w:rFonts w:ascii="Tahoma" w:hAnsi="Tahoma" w:cs="Tahoma"/>
          <w:sz w:val="18"/>
          <w:szCs w:val="18"/>
          <w:lang w:val="ru-RU"/>
        </w:rPr>
        <w:t>од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16,7</w:t>
      </w:r>
      <w:r w:rsidRPr="003E2AC4">
        <w:rPr>
          <w:rFonts w:ascii="Tahoma" w:hAnsi="Tahoma" w:cs="Tahoma"/>
          <w:sz w:val="18"/>
          <w:szCs w:val="18"/>
          <w:lang w:val="sr-Cyrl-BA"/>
        </w:rPr>
        <w:t>% и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код трајних производа позитивна 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3E2AC4">
        <w:rPr>
          <w:rFonts w:ascii="Tahoma" w:hAnsi="Tahoma" w:cs="Tahoma"/>
          <w:sz w:val="18"/>
          <w:szCs w:val="18"/>
          <w:lang w:val="ru-RU"/>
        </w:rPr>
        <w:t>од 2,5%</w:t>
      </w:r>
    </w:p>
    <w:p w:rsidR="00313D04" w:rsidRPr="003E2AC4" w:rsidRDefault="00313D04" w:rsidP="00313D04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313D04" w:rsidRPr="003E2AC4" w:rsidRDefault="00313D04" w:rsidP="00313D04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3E2AC4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3E2AC4">
        <w:rPr>
          <w:rFonts w:ascii="Tahoma" w:hAnsi="Tahoma" w:cs="Tahoma"/>
          <w:sz w:val="18"/>
          <w:szCs w:val="18"/>
          <w:lang w:val="sr-Cyrl-CS"/>
        </w:rPr>
        <w:t>октобру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3E2AC4">
        <w:rPr>
          <w:rFonts w:ascii="Tahoma" w:hAnsi="Tahoma" w:cs="Tahoma"/>
          <w:sz w:val="18"/>
          <w:szCs w:val="18"/>
          <w:lang w:val="ru-RU"/>
        </w:rPr>
        <w:t>односу на септембар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године мањи је за 0,4%.</w:t>
      </w:r>
    </w:p>
    <w:p w:rsidR="00313D04" w:rsidRPr="003E2AC4" w:rsidRDefault="00313D04" w:rsidP="00313D04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313D04" w:rsidRPr="003E2AC4" w:rsidRDefault="00313D04" w:rsidP="00313D04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3E2AC4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3E2AC4">
        <w:rPr>
          <w:rFonts w:ascii="Tahoma" w:hAnsi="Tahoma" w:cs="Tahoma"/>
          <w:sz w:val="18"/>
          <w:szCs w:val="18"/>
          <w:lang w:val="ru-RU"/>
        </w:rPr>
        <w:t>периоду јануар - октобар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1,6%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, при чему је у подручју </w:t>
      </w:r>
      <w:r w:rsidRPr="003E2AC4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забиљежен пад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од 1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,6% и у подручју </w:t>
      </w:r>
      <w:r w:rsidRPr="003E2AC4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пад од 2,1%, док је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3E2AC4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>забиљежен раст броја запослених од 1,4</w:t>
      </w:r>
      <w:r w:rsidRPr="003E2AC4">
        <w:rPr>
          <w:rFonts w:ascii="Tahoma" w:hAnsi="Tahoma" w:cs="Tahoma"/>
          <w:sz w:val="18"/>
          <w:szCs w:val="18"/>
          <w:lang w:val="ru-RU"/>
        </w:rPr>
        <w:t>%.</w:t>
      </w:r>
    </w:p>
    <w:p w:rsidR="00DE56F7" w:rsidRPr="003E2AC4" w:rsidRDefault="00DE56F7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DE24B3" w:rsidRPr="003E2AC4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56F7" w:rsidRPr="003E2AC4" w:rsidRDefault="00DE56F7" w:rsidP="00AC7A6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E05152" w:rsidRPr="003E2AC4" w:rsidRDefault="001D051B" w:rsidP="008928E0">
      <w:pPr>
        <w:spacing w:after="120"/>
        <w:rPr>
          <w:rFonts w:ascii="Tahoma" w:hAnsi="Tahoma" w:cs="Tahoma"/>
          <w:b/>
          <w:sz w:val="28"/>
          <w:szCs w:val="28"/>
          <w:lang w:val="bs-Cyrl-BA"/>
        </w:rPr>
      </w:pPr>
      <w:r w:rsidRPr="003E2AC4">
        <w:rPr>
          <w:rFonts w:ascii="Tahoma" w:hAnsi="Tahoma" w:cs="Tahoma"/>
          <w:b/>
          <w:sz w:val="28"/>
          <w:szCs w:val="28"/>
          <w:lang w:val="bs-Cyrl-BA"/>
        </w:rPr>
        <w:br w:type="page"/>
      </w:r>
      <w:r w:rsidR="00E05152" w:rsidRPr="003E2AC4">
        <w:rPr>
          <w:rFonts w:ascii="Tahoma" w:hAnsi="Tahoma" w:cs="Tahoma"/>
          <w:b/>
          <w:sz w:val="28"/>
          <w:szCs w:val="28"/>
          <w:lang w:val="bs-Cyrl-BA"/>
        </w:rPr>
        <w:t>П</w:t>
      </w:r>
      <w:r w:rsidR="00E05152" w:rsidRPr="003E2AC4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="00E05152" w:rsidRPr="003E2AC4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="00E05152" w:rsidRPr="003E2AC4">
        <w:rPr>
          <w:rFonts w:ascii="Tahoma" w:hAnsi="Tahoma" w:cs="Tahoma"/>
          <w:b/>
          <w:sz w:val="28"/>
          <w:szCs w:val="28"/>
        </w:rPr>
        <w:t>I</w:t>
      </w:r>
      <w:r w:rsidR="00E05152" w:rsidRPr="003E2AC4">
        <w:rPr>
          <w:rFonts w:ascii="Tahoma" w:hAnsi="Tahoma" w:cs="Tahoma"/>
          <w:b/>
          <w:sz w:val="28"/>
          <w:szCs w:val="28"/>
          <w:lang w:val="ru-RU"/>
        </w:rPr>
        <w:t>–</w:t>
      </w:r>
      <w:r w:rsidR="00E05152" w:rsidRPr="003E2AC4">
        <w:rPr>
          <w:rFonts w:ascii="Tahoma" w:hAnsi="Tahoma" w:cs="Tahoma"/>
          <w:b/>
          <w:sz w:val="28"/>
          <w:szCs w:val="28"/>
        </w:rPr>
        <w:t>X</w:t>
      </w:r>
      <w:r w:rsidR="00E05152" w:rsidRPr="003E2AC4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05152" w:rsidRPr="003E2AC4">
        <w:rPr>
          <w:rFonts w:ascii="Tahoma" w:hAnsi="Tahoma" w:cs="Tahoma"/>
          <w:b/>
          <w:sz w:val="28"/>
          <w:szCs w:val="28"/>
          <w:lang w:val="ru-RU"/>
        </w:rPr>
        <w:t>201</w:t>
      </w:r>
      <w:r w:rsidR="00E05152" w:rsidRPr="003E2AC4">
        <w:rPr>
          <w:rFonts w:ascii="Tahoma" w:hAnsi="Tahoma" w:cs="Tahoma"/>
          <w:b/>
          <w:sz w:val="28"/>
          <w:szCs w:val="28"/>
          <w:lang w:val="sr-Cyrl-CS"/>
        </w:rPr>
        <w:t>2</w:t>
      </w:r>
      <w:r w:rsidR="003E2AC4" w:rsidRPr="003E2AC4">
        <w:rPr>
          <w:rFonts w:ascii="Tahoma" w:hAnsi="Tahoma" w:cs="Tahoma"/>
          <w:b/>
          <w:sz w:val="28"/>
          <w:szCs w:val="28"/>
        </w:rPr>
        <w:t>.</w:t>
      </w:r>
      <w:r w:rsidR="00E05152" w:rsidRPr="003E2AC4">
        <w:rPr>
          <w:rFonts w:ascii="Tahoma" w:hAnsi="Tahoma" w:cs="Tahoma"/>
          <w:b/>
          <w:sz w:val="28"/>
          <w:szCs w:val="28"/>
          <w:lang w:val="sr-Cyrl-BA"/>
        </w:rPr>
        <w:t>)</w:t>
      </w:r>
      <w:r w:rsidR="00E05152" w:rsidRPr="003E2AC4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05152" w:rsidRPr="003E2AC4">
        <w:rPr>
          <w:rFonts w:ascii="Tahoma" w:hAnsi="Tahoma" w:cs="Tahoma"/>
          <w:b/>
          <w:sz w:val="28"/>
          <w:szCs w:val="28"/>
          <w:lang w:val="hr-HR"/>
        </w:rPr>
        <w:t>52</w:t>
      </w:r>
      <w:r w:rsidR="00E05152" w:rsidRPr="003E2AC4">
        <w:rPr>
          <w:rFonts w:ascii="Tahoma" w:hAnsi="Tahoma" w:cs="Tahoma"/>
          <w:b/>
          <w:sz w:val="28"/>
          <w:szCs w:val="28"/>
          <w:lang w:val="ru-RU"/>
        </w:rPr>
        <w:t>,</w:t>
      </w:r>
      <w:r w:rsidR="00E05152" w:rsidRPr="003E2AC4">
        <w:rPr>
          <w:rFonts w:ascii="Tahoma" w:hAnsi="Tahoma" w:cs="Tahoma"/>
          <w:b/>
          <w:sz w:val="28"/>
          <w:szCs w:val="28"/>
        </w:rPr>
        <w:t>4</w:t>
      </w:r>
      <w:r w:rsidR="00E05152" w:rsidRPr="003E2AC4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E05152" w:rsidRPr="003E2AC4" w:rsidRDefault="00E05152" w:rsidP="008928E0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24"/>
          <w:szCs w:val="24"/>
          <w:lang w:val="ru-RU"/>
        </w:rPr>
      </w:pPr>
      <w:r w:rsidRPr="003E2AC4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3E2AC4">
        <w:rPr>
          <w:rFonts w:ascii="Tahoma" w:hAnsi="Tahoma" w:cs="Tahoma"/>
          <w:sz w:val="24"/>
          <w:szCs w:val="24"/>
          <w:lang w:val="hr-HR"/>
        </w:rPr>
        <w:t>(I-X 2012/I-X 2011</w:t>
      </w:r>
      <w:r w:rsidRPr="003E2AC4">
        <w:rPr>
          <w:rFonts w:ascii="Tahoma" w:hAnsi="Tahoma" w:cs="Tahoma"/>
          <w:sz w:val="24"/>
          <w:szCs w:val="24"/>
          <w:lang w:val="sr-Cyrl-CS"/>
        </w:rPr>
        <w:t>.</w:t>
      </w:r>
      <w:r w:rsidRPr="003E2AC4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3E2AC4">
        <w:rPr>
          <w:rFonts w:ascii="Tahoma" w:hAnsi="Tahoma" w:cs="Tahoma"/>
          <w:sz w:val="24"/>
          <w:szCs w:val="24"/>
          <w:lang w:val="sr-Cyrl-BA"/>
        </w:rPr>
        <w:t>смањен 4</w:t>
      </w:r>
      <w:r w:rsidRPr="003E2AC4">
        <w:rPr>
          <w:rFonts w:ascii="Tahoma" w:hAnsi="Tahoma" w:cs="Tahoma"/>
          <w:sz w:val="24"/>
          <w:szCs w:val="24"/>
          <w:lang w:val="ru-RU"/>
        </w:rPr>
        <w:t>,</w:t>
      </w:r>
      <w:r w:rsidRPr="003E2AC4">
        <w:rPr>
          <w:rFonts w:ascii="Tahoma" w:hAnsi="Tahoma" w:cs="Tahoma"/>
          <w:sz w:val="24"/>
          <w:szCs w:val="24"/>
        </w:rPr>
        <w:t>6</w:t>
      </w:r>
      <w:r w:rsidRPr="003E2AC4">
        <w:rPr>
          <w:rFonts w:ascii="Tahoma" w:hAnsi="Tahoma" w:cs="Tahoma"/>
          <w:sz w:val="24"/>
          <w:szCs w:val="24"/>
          <w:lang w:val="ru-RU"/>
        </w:rPr>
        <w:t>%</w:t>
      </w:r>
    </w:p>
    <w:p w:rsidR="00E05152" w:rsidRPr="003E2AC4" w:rsidRDefault="00E05152" w:rsidP="003E2AC4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У октобру 2012. године, остварен је извоз у вриједности 214 милиона КМ и увоз у вриједности од 486 милиона КМ.</w:t>
      </w:r>
    </w:p>
    <w:p w:rsidR="00E05152" w:rsidRPr="003E2AC4" w:rsidRDefault="00E05152" w:rsidP="003E2AC4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3E2AC4">
        <w:rPr>
          <w:rFonts w:ascii="Tahoma" w:hAnsi="Tahoma" w:cs="Tahoma"/>
          <w:sz w:val="18"/>
          <w:szCs w:val="18"/>
          <w:lang w:val="bs-Cyrl-BA"/>
        </w:rPr>
        <w:t>е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3E2AC4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3E2AC4">
        <w:rPr>
          <w:rFonts w:ascii="Tahoma" w:hAnsi="Tahoma" w:cs="Tahoma"/>
          <w:sz w:val="18"/>
          <w:szCs w:val="18"/>
          <w:lang w:val="sr-Cyrl-BA"/>
        </w:rPr>
        <w:t>Српске са иностранством у октобру ове године, проценат покривености увоза извозом износио је 44,0%.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ru-RU"/>
        </w:rPr>
        <w:t>У периоду јануар - октобар  2012. године остварен је извоз у вриједности од 2 милијарде 34 милиона КМ, што је за 4,6% мање у односу на исти период претходне године. Увоз је, у истом периоду, износио 3 милијарде 886 милиона КМ, што је за 4,2% више у односу на исти период претходне године.</w:t>
      </w:r>
    </w:p>
    <w:p w:rsidR="00E05152" w:rsidRPr="003E2AC4" w:rsidRDefault="00E05152" w:rsidP="003E2AC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првих десет мјесеци текуће године износио је 52,4%, док је спољнотрговински робни дефицит износио милијарду и 851 милиона КМ.</w:t>
      </w:r>
    </w:p>
    <w:p w:rsidR="00E05152" w:rsidRPr="003E2AC4" w:rsidRDefault="00E05152" w:rsidP="003E2AC4">
      <w:pPr>
        <w:pStyle w:val="Body2"/>
        <w:tabs>
          <w:tab w:val="left" w:pos="408"/>
        </w:tabs>
        <w:spacing w:after="120"/>
        <w:ind w:firstLine="0"/>
        <w:rPr>
          <w:rFonts w:ascii="Tahoma" w:hAnsi="Tahoma" w:cs="Tahoma"/>
          <w:szCs w:val="18"/>
        </w:rPr>
      </w:pPr>
      <w:r w:rsidRPr="003E2AC4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3E2AC4">
        <w:rPr>
          <w:rFonts w:ascii="Tahoma" w:hAnsi="Tahoma" w:cs="Tahoma"/>
          <w:szCs w:val="18"/>
        </w:rPr>
        <w:t>e</w:t>
      </w:r>
      <w:r w:rsidRPr="003E2AC4">
        <w:rPr>
          <w:rFonts w:ascii="Tahoma" w:hAnsi="Tahoma" w:cs="Tahoma"/>
          <w:szCs w:val="18"/>
          <w:lang w:val="ru-RU"/>
        </w:rPr>
        <w:t xml:space="preserve"> Српск</w:t>
      </w:r>
      <w:r w:rsidRPr="003E2AC4">
        <w:rPr>
          <w:rFonts w:ascii="Tahoma" w:hAnsi="Tahoma" w:cs="Tahoma"/>
          <w:szCs w:val="18"/>
        </w:rPr>
        <w:t>e</w:t>
      </w:r>
      <w:r w:rsidRPr="003E2AC4">
        <w:rPr>
          <w:rFonts w:ascii="Tahoma" w:hAnsi="Tahoma" w:cs="Tahoma"/>
          <w:szCs w:val="18"/>
          <w:lang w:val="ru-RU"/>
        </w:rPr>
        <w:t xml:space="preserve"> са иностранством, у периоду јануар - октобар  </w:t>
      </w:r>
      <w:r w:rsidRPr="003E2AC4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354 милиона КМ, односно 17,4%</w:t>
      </w:r>
      <w:r w:rsidRPr="003E2AC4">
        <w:rPr>
          <w:rFonts w:ascii="Tahoma" w:hAnsi="Tahoma" w:cs="Tahoma"/>
          <w:szCs w:val="18"/>
          <w:lang w:val="ru-RU"/>
        </w:rPr>
        <w:t xml:space="preserve">, </w:t>
      </w:r>
      <w:r w:rsidRPr="003E2AC4">
        <w:rPr>
          <w:rFonts w:ascii="Tahoma" w:hAnsi="Tahoma" w:cs="Tahoma"/>
          <w:szCs w:val="18"/>
          <w:lang w:val="sr-Cyrl-CS"/>
        </w:rPr>
        <w:t>те у Србију, у вриједности од 318 милиона КМ, односно 15,6% од укупног оствареног извоза.</w:t>
      </w:r>
    </w:p>
    <w:p w:rsidR="00E05152" w:rsidRPr="003E2AC4" w:rsidRDefault="00E05152" w:rsidP="003E2AC4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E2AC4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3E2AC4">
        <w:rPr>
          <w:rFonts w:ascii="Tahoma" w:hAnsi="Tahoma" w:cs="Tahoma"/>
          <w:sz w:val="18"/>
          <w:szCs w:val="18"/>
          <w:lang w:val="sr-Cyrl-BA"/>
        </w:rPr>
        <w:t>н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ајвише се увозило из Русије и то у вриједности од 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Pr="003E2AC4">
        <w:rPr>
          <w:rFonts w:ascii="Tahoma" w:hAnsi="Tahoma" w:cs="Tahoma"/>
          <w:sz w:val="18"/>
          <w:szCs w:val="18"/>
          <w:lang w:val="sr-Cyrl-CS"/>
        </w:rPr>
        <w:t>94 милиона КМ, односно 28,2% и из Србије, у вриједности од 651 милиона КМ, односно 16,8% од укупно оствареног увоза.</w:t>
      </w:r>
    </w:p>
    <w:p w:rsidR="00E05152" w:rsidRPr="003E2AC4" w:rsidRDefault="00E05152" w:rsidP="003E2AC4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3E2AC4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јануар  - октобар 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3E2AC4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3E2AC4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3E2AC4">
        <w:rPr>
          <w:rFonts w:ascii="Tahoma" w:hAnsi="Tahoma" w:cs="Tahoma"/>
          <w:sz w:val="18"/>
          <w:szCs w:val="18"/>
          <w:lang w:val="sr-Cyrl-CS"/>
        </w:rPr>
        <w:t>)</w:t>
      </w:r>
      <w:r w:rsidRPr="003E2AC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3E2AC4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259 милиона КМ, што износи 12,7% од укупног извоза, док највеће учешће у увозу остварује </w:t>
      </w:r>
      <w:r w:rsidRPr="003E2AC4">
        <w:rPr>
          <w:rFonts w:ascii="Tahoma" w:hAnsi="Tahoma" w:cs="Tahoma"/>
          <w:sz w:val="18"/>
          <w:szCs w:val="18"/>
          <w:lang w:val="sr-Cyrl-BA"/>
        </w:rPr>
        <w:t>н</w:t>
      </w:r>
      <w:r w:rsidRPr="003E2AC4">
        <w:rPr>
          <w:rFonts w:ascii="Tahoma" w:hAnsi="Tahoma" w:cs="Tahoma"/>
          <w:sz w:val="18"/>
          <w:szCs w:val="18"/>
          <w:lang w:val="ru-RU"/>
        </w:rPr>
        <w:t>афт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3E2AC4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3E2AC4">
        <w:rPr>
          <w:rFonts w:ascii="Tahoma" w:hAnsi="Tahoma" w:cs="Tahoma"/>
          <w:sz w:val="18"/>
          <w:szCs w:val="18"/>
          <w:lang w:val="ru-RU"/>
        </w:rPr>
        <w:t>сиров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Pr="003E2AC4">
        <w:rPr>
          <w:rFonts w:ascii="Tahoma" w:hAnsi="Tahoma" w:cs="Tahoma"/>
          <w:sz w:val="18"/>
          <w:szCs w:val="18"/>
          <w:lang w:val="ru-RU"/>
        </w:rPr>
        <w:t>милијарду и 127</w:t>
      </w:r>
      <w:r w:rsidRPr="003E2AC4">
        <w:rPr>
          <w:rFonts w:ascii="Tahoma" w:hAnsi="Tahoma" w:cs="Tahoma"/>
          <w:sz w:val="18"/>
          <w:szCs w:val="18"/>
          <w:lang w:val="sr-Cyrl-BA"/>
        </w:rPr>
        <w:t xml:space="preserve"> милиона КМ, што износи 29,0% од укупног увоза.</w:t>
      </w:r>
    </w:p>
    <w:p w:rsidR="00AC7A63" w:rsidRPr="003E2AC4" w:rsidRDefault="00AC7A63" w:rsidP="003E2AC4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270C0" w:rsidRPr="003E2AC4" w:rsidRDefault="00C270C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3E2AC4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3E2AC4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3E2AC4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3E2AC4" w:rsidRDefault="00342221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48.5pt;margin-top:4.05pt;width:61.05pt;height:19.75pt;z-index:251658240;mso-position-horizontal-relative:text;mso-position-vertical-relative:text;mso-width-relative:margin;mso-height-relative:margin" stroked="f">
            <v:textbox style="mso-next-textbox:#_x0000_s1062">
              <w:txbxContent>
                <w:p w:rsidR="00395034" w:rsidRPr="0078288A" w:rsidRDefault="00395034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78288A" w:rsidRPr="003E2AC4" w:rsidRDefault="0078288A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3E2AC4" w:rsidRDefault="00342221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  <w:r w:rsidRPr="00342221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64.15pt;margin-top:185.25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395034" w:rsidRPr="00843401" w:rsidRDefault="00395034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Pr="00342221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25.05pt;margin-top:185.2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395034" w:rsidRPr="00843401" w:rsidRDefault="00395034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</w:t>
                  </w:r>
                </w:p>
              </w:txbxContent>
            </v:textbox>
          </v:shape>
        </w:pict>
      </w:r>
      <w:r w:rsidR="00E05152" w:rsidRPr="003E2AC4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>
            <wp:extent cx="4743451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301" w:rsidRPr="003E2AC4" w:rsidRDefault="005E0301" w:rsidP="00094E6E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8066F8" w:rsidRPr="003E2AC4" w:rsidRDefault="008066F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206D7" w:rsidRPr="003E2AC4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28"/>
          <w:szCs w:val="28"/>
        </w:rPr>
      </w:pPr>
      <w:r w:rsidRPr="003E2AC4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765234" w:rsidRPr="003E2AC4">
        <w:rPr>
          <w:rFonts w:ascii="Tahoma" w:hAnsi="Tahoma" w:cs="Tahoma"/>
          <w:sz w:val="16"/>
          <w:szCs w:val="16"/>
        </w:rPr>
        <w:t>3</w:t>
      </w:r>
      <w:r w:rsidR="005E0301" w:rsidRPr="003E2AC4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3E2AC4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3E2AC4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3E2AC4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3E2AC4">
        <w:rPr>
          <w:rFonts w:ascii="Tahoma" w:hAnsi="Tahoma" w:cs="Tahoma"/>
          <w:iCs/>
          <w:sz w:val="16"/>
          <w:szCs w:val="16"/>
          <w:lang w:val="ru-RU"/>
        </w:rPr>
        <w:t>воз по мјесецима</w:t>
      </w:r>
    </w:p>
    <w:p w:rsidR="00F94323" w:rsidRPr="003E2AC4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380E95" w:rsidRPr="003E2AC4" w:rsidRDefault="00380E95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7E42C1" w:rsidRPr="003E2AC4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3E2AC4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3E2AC4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DE24B3" w:rsidRPr="003E2AC4" w:rsidRDefault="000C4E02">
      <w:pPr>
        <w:rPr>
          <w:rFonts w:ascii="Tahoma" w:hAnsi="Tahoma" w:cs="Tahoma"/>
          <w:bCs/>
          <w:sz w:val="18"/>
          <w:szCs w:val="18"/>
          <w:lang w:val="sr-Cyrl-BA"/>
        </w:rPr>
      </w:pPr>
      <w:r w:rsidRPr="003E2AC4">
        <w:rPr>
          <w:rFonts w:ascii="Tahoma" w:hAnsi="Tahoma" w:cs="Tahoma"/>
          <w:bCs/>
          <w:sz w:val="18"/>
          <w:szCs w:val="18"/>
          <w:lang w:val="sr-Cyrl-BA"/>
        </w:rPr>
        <w:br w:type="page"/>
      </w:r>
    </w:p>
    <w:p w:rsidR="00DE24B3" w:rsidRPr="003E2AC4" w:rsidRDefault="00DE24B3">
      <w:pPr>
        <w:rPr>
          <w:rFonts w:ascii="Tahoma" w:hAnsi="Tahoma" w:cs="Tahoma"/>
          <w:bCs/>
          <w:sz w:val="18"/>
          <w:szCs w:val="18"/>
          <w:lang w:val="sr-Cyrl-BA"/>
        </w:rPr>
      </w:pPr>
    </w:p>
    <w:p w:rsidR="00DB6D76" w:rsidRPr="003E2AC4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3E2AC4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3E2AC4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3E2AC4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7E7B08" w:rsidRPr="003E2AC4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E7B08" w:rsidRDefault="00AB59E7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националних рачуна</w:t>
            </w:r>
          </w:p>
          <w:p w:rsidR="00AB59E7" w:rsidRDefault="00AB59E7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AB59E7">
              <w:rPr>
                <w:rFonts w:ascii="Tahoma" w:hAnsi="Tahoma" w:cs="Tahoma"/>
                <w:sz w:val="16"/>
                <w:lang w:val="sr-Cyrl-CS"/>
              </w:rPr>
              <w:t>Милка Цигановић</w:t>
            </w:r>
          </w:p>
          <w:p w:rsidR="006D0DE6" w:rsidRDefault="00AB59E7" w:rsidP="006D0DE6">
            <w:pPr>
              <w:spacing w:after="8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milka.ciganovic@rzs.rs.ba</w:t>
            </w:r>
          </w:p>
          <w:p w:rsidR="00AB59E7" w:rsidRDefault="00AB59E7" w:rsidP="00094E6E">
            <w:pPr>
              <w:jc w:val="both"/>
              <w:rPr>
                <w:rFonts w:ascii="Tahoma" w:hAnsi="Tahoma" w:cs="Tahoma"/>
                <w:sz w:val="16"/>
              </w:rPr>
            </w:pPr>
            <w:r w:rsidRPr="00AB59E7">
              <w:rPr>
                <w:rFonts w:ascii="Tahoma" w:hAnsi="Tahoma" w:cs="Tahoma"/>
                <w:sz w:val="16"/>
                <w:lang w:val="sr-Cyrl-CS"/>
              </w:rPr>
              <w:t>Јадранка Лубурић</w:t>
            </w:r>
          </w:p>
          <w:p w:rsidR="00AB59E7" w:rsidRPr="00AB59E7" w:rsidRDefault="00342221" w:rsidP="00094E6E">
            <w:pPr>
              <w:jc w:val="both"/>
              <w:rPr>
                <w:rFonts w:ascii="Tahoma" w:hAnsi="Tahoma" w:cs="Tahoma"/>
                <w:sz w:val="16"/>
              </w:rPr>
            </w:pPr>
            <w:hyperlink r:id="rId11" w:history="1">
              <w:r w:rsidR="00AB59E7" w:rsidRPr="00AB59E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jadranka.luburic@rzs.rs.ba</w:t>
              </w:r>
            </w:hyperlink>
          </w:p>
          <w:p w:rsidR="00AB59E7" w:rsidRPr="00AB59E7" w:rsidRDefault="00AB59E7" w:rsidP="00094E6E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  <w:tr w:rsidR="00CA65A1" w:rsidRPr="003E2AC4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3E2AC4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3E2A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CA65A1" w:rsidRPr="003E2AC4" w:rsidRDefault="006D0DE6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Радмила Галић</w:t>
            </w:r>
          </w:p>
          <w:p w:rsidR="006D0DE6" w:rsidRPr="006D0DE6" w:rsidRDefault="00342221" w:rsidP="006D0DE6">
            <w:pPr>
              <w:spacing w:after="80"/>
              <w:jc w:val="both"/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6D0DE6" w:rsidRPr="006D0DE6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u w:val="none"/>
                </w:rPr>
                <w:t>radmila.galic@rzs.rs.ba</w:t>
              </w:r>
            </w:hyperlink>
          </w:p>
          <w:p w:rsidR="006D0DE6" w:rsidRDefault="006D0DE6" w:rsidP="00094E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0DE6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Владимир Копривица </w:t>
            </w:r>
          </w:p>
          <w:p w:rsidR="006D0DE6" w:rsidRPr="006D0DE6" w:rsidRDefault="006D0DE6" w:rsidP="00094E6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vladimir.koprivica@rzs.rs.ba</w:t>
            </w:r>
          </w:p>
          <w:p w:rsidR="00CA65A1" w:rsidRPr="003E2AC4" w:rsidRDefault="00CA65A1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65A1" w:rsidRPr="003E2AC4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3E2AC4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3E2A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3E2AC4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CA65A1" w:rsidRPr="003E2AC4" w:rsidRDefault="00342221" w:rsidP="00DE702D">
            <w:pPr>
              <w:spacing w:after="80"/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3" w:history="1"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3E2AC4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CA65A1" w:rsidRPr="003E2AC4" w:rsidRDefault="00342221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A65A1" w:rsidRPr="003E2AC4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3E2AC4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3E2A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3E2AC4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CA65A1" w:rsidRPr="003E2AC4" w:rsidRDefault="00342221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5" w:history="1"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CA65A1" w:rsidRPr="003E2AC4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A65A1" w:rsidRPr="003E2AC4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3E2AC4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3E2A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3E2AC4">
              <w:rPr>
                <w:rFonts w:ascii="Tahoma" w:hAnsi="Tahoma" w:cs="Tahoma"/>
                <w:sz w:val="16"/>
                <w:lang w:val="sr-Cyrl-CS"/>
              </w:rPr>
              <w:t>мр Сања Стојчевић</w:t>
            </w:r>
          </w:p>
          <w:p w:rsidR="00CA65A1" w:rsidRPr="003E2AC4" w:rsidRDefault="0034222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6" w:history="1"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CA65A1" w:rsidRPr="003E2A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CA65A1" w:rsidRPr="003E2AC4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3E2AC4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3E2AC4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3E2AC4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3E2AC4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3E2AC4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3E2AC4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3E2AC4">
              <w:rPr>
                <w:rFonts w:ascii="Tahoma" w:hAnsi="Tahoma" w:cs="Tahoma"/>
                <w:b/>
                <w:bCs/>
              </w:rPr>
              <w:sym w:font="Symbol" w:char="00C6"/>
            </w:r>
            <w:r w:rsidRPr="003E2AC4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3E2AC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5C196F" w:rsidRPr="006D0DE6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C196F" w:rsidRPr="003E2AC4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3E2AC4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3E2AC4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3E2AC4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5733" w:rsidRPr="003E2AC4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3E2AC4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3E2AC4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3E2AC4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3E2AC4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3E2AC4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3E2AC4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3E2AC4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3E2AC4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3E2AC4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D6628" w:rsidRPr="00AB59E7" w:rsidRDefault="003D662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D6628" w:rsidRPr="003E2AC4" w:rsidRDefault="003D662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72953" w:rsidRPr="003E2AC4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3E2AC4" w:rsidRDefault="00342221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42221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W w:w="10703" w:type="dxa"/>
        <w:jc w:val="center"/>
        <w:tblInd w:w="-355" w:type="dxa"/>
        <w:tblLook w:val="01E0"/>
      </w:tblPr>
      <w:tblGrid>
        <w:gridCol w:w="10703"/>
      </w:tblGrid>
      <w:tr w:rsidR="008C3261" w:rsidRPr="003E2AC4" w:rsidTr="00DE24B3">
        <w:trPr>
          <w:trHeight w:hRule="exact" w:val="11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3E2AC4" w:rsidRDefault="008C3261" w:rsidP="00DE24B3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3E2AC4" w:rsidTr="00DE24B3">
        <w:trPr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3E2AC4" w:rsidRDefault="008C3261" w:rsidP="00DE24B3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3E2AC4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3E2AC4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3E2AC4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3E2AC4">
              <w:rPr>
                <w:rFonts w:ascii="Tahoma" w:hAnsi="Tahoma" w:cs="Tahoma"/>
                <w:sz w:val="16"/>
              </w:rPr>
              <w:t xml:space="preserve">е </w:t>
            </w:r>
            <w:r w:rsidR="00477CB9" w:rsidRPr="003E2AC4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3E2AC4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3E2AC4">
              <w:rPr>
                <w:rFonts w:ascii="Tahoma" w:hAnsi="Tahoma" w:cs="Tahoma"/>
                <w:sz w:val="16"/>
              </w:rPr>
              <w:t xml:space="preserve"> </w:t>
            </w:r>
            <w:r w:rsidRPr="003E2AC4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3E2AC4" w:rsidTr="00DE24B3">
        <w:trPr>
          <w:trHeight w:val="160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3E2AC4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3E2AC4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3E2AC4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3E2AC4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3E2AC4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3E2AC4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3E2AC4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3E2AC4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3E2AC4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3E2AC4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3E2AC4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3E2AC4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3E2AC4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3E2AC4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3E2AC4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3E2AC4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3E2AC4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3E2AC4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3E2AC4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3E2AC4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3E2AC4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3E2AC4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3E2AC4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3E2AC4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3E2AC4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3E2AC4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3E2AC4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3E2AC4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3E2A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3E2AC4" w:rsidRDefault="008C3261" w:rsidP="00DE24B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3E2AC4" w:rsidRDefault="008C3261" w:rsidP="00DE24B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3E2AC4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3E2AC4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3E2AC4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3E2AC4" w:rsidRDefault="00342221" w:rsidP="00094E6E">
      <w:pPr>
        <w:jc w:val="both"/>
        <w:rPr>
          <w:rFonts w:ascii="Tahoma" w:hAnsi="Tahoma" w:cs="Tahoma"/>
          <w:lang w:val="sr-Cyrl-BA"/>
        </w:rPr>
      </w:pPr>
      <w:r w:rsidRPr="00342221">
        <w:rPr>
          <w:rFonts w:ascii="Tahoma" w:hAnsi="Tahoma" w:cs="Tahoma"/>
          <w:noProof/>
          <w:lang w:val="bs-Latn-BA" w:eastAsia="bs-Latn-BA"/>
        </w:rPr>
        <w:pict>
          <v:line id="_x0000_s1057" style="position:absolute;left:0;text-align:left;z-index:251655168;mso-position-horizontal-relative:text;mso-position-vertical-relative:text" from="-2.5pt,108.2pt" to="510.5pt,108.2pt" strokecolor="#376ea5" strokeweight="1.5pt"/>
        </w:pict>
      </w:r>
    </w:p>
    <w:p w:rsidR="00657939" w:rsidRPr="003E2AC4" w:rsidRDefault="00657939" w:rsidP="00094E6E">
      <w:pPr>
        <w:jc w:val="both"/>
        <w:rPr>
          <w:rFonts w:ascii="Tahoma" w:hAnsi="Tahoma" w:cs="Tahoma"/>
          <w:lang w:val="sr-Cyrl-BA"/>
        </w:rPr>
      </w:pPr>
    </w:p>
    <w:sectPr w:rsidR="00657939" w:rsidRPr="003E2AC4" w:rsidSect="005D5311">
      <w:headerReference w:type="default" r:id="rId18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34" w:rsidRDefault="00395034">
      <w:r>
        <w:separator/>
      </w:r>
    </w:p>
  </w:endnote>
  <w:endnote w:type="continuationSeparator" w:id="0">
    <w:p w:rsidR="00395034" w:rsidRDefault="0039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34" w:rsidRDefault="00395034">
      <w:r>
        <w:separator/>
      </w:r>
    </w:p>
  </w:footnote>
  <w:footnote w:type="continuationSeparator" w:id="0">
    <w:p w:rsidR="00395034" w:rsidRDefault="0039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39503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95034" w:rsidRDefault="00395034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395034" w:rsidRPr="00460A5B" w:rsidRDefault="00395034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95034" w:rsidRPr="005D5311" w:rsidRDefault="00395034" w:rsidP="00E051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новембар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95034" w:rsidRDefault="00342221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342221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1CB"/>
    <w:rsid w:val="000827D7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575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D45"/>
    <w:rsid w:val="000C3E52"/>
    <w:rsid w:val="000C4147"/>
    <w:rsid w:val="000C478D"/>
    <w:rsid w:val="000C4E02"/>
    <w:rsid w:val="000C6A1A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0F7E7B"/>
    <w:rsid w:val="00100507"/>
    <w:rsid w:val="001008B3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A9B"/>
    <w:rsid w:val="00164E59"/>
    <w:rsid w:val="001655F9"/>
    <w:rsid w:val="001658E6"/>
    <w:rsid w:val="001658F6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D5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C7ACB"/>
    <w:rsid w:val="001D051B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A16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0FB1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880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04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221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034"/>
    <w:rsid w:val="0039534B"/>
    <w:rsid w:val="00395878"/>
    <w:rsid w:val="003961DF"/>
    <w:rsid w:val="0039672B"/>
    <w:rsid w:val="00396B37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888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66DD"/>
    <w:rsid w:val="003B6801"/>
    <w:rsid w:val="003B695B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D64"/>
    <w:rsid w:val="003C6E66"/>
    <w:rsid w:val="003C6F71"/>
    <w:rsid w:val="003C6FE6"/>
    <w:rsid w:val="003C73E2"/>
    <w:rsid w:val="003C7538"/>
    <w:rsid w:val="003C7609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EBC"/>
    <w:rsid w:val="003D4FE0"/>
    <w:rsid w:val="003D5248"/>
    <w:rsid w:val="003D5C76"/>
    <w:rsid w:val="003D6043"/>
    <w:rsid w:val="003D6262"/>
    <w:rsid w:val="003D6628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AC4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1DA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7B0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578"/>
    <w:rsid w:val="00460A5B"/>
    <w:rsid w:val="00460B18"/>
    <w:rsid w:val="00461655"/>
    <w:rsid w:val="004618F7"/>
    <w:rsid w:val="00461A1C"/>
    <w:rsid w:val="004629F9"/>
    <w:rsid w:val="00462AD1"/>
    <w:rsid w:val="00462B54"/>
    <w:rsid w:val="00462DD2"/>
    <w:rsid w:val="0046323F"/>
    <w:rsid w:val="004632B1"/>
    <w:rsid w:val="00463D57"/>
    <w:rsid w:val="00464858"/>
    <w:rsid w:val="00464A3B"/>
    <w:rsid w:val="0046574E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9F4"/>
    <w:rsid w:val="004A7E87"/>
    <w:rsid w:val="004A7EAC"/>
    <w:rsid w:val="004B06A2"/>
    <w:rsid w:val="004B0748"/>
    <w:rsid w:val="004B0B25"/>
    <w:rsid w:val="004B1A8F"/>
    <w:rsid w:val="004B1B4B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2A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4B8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AC0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018"/>
    <w:rsid w:val="005073CC"/>
    <w:rsid w:val="005076E5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5BA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3B7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47F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27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1FC6"/>
    <w:rsid w:val="006C2095"/>
    <w:rsid w:val="006C2231"/>
    <w:rsid w:val="006C33B8"/>
    <w:rsid w:val="006C343F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DE6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6990"/>
    <w:rsid w:val="007E6C0E"/>
    <w:rsid w:val="007E71B3"/>
    <w:rsid w:val="007E7446"/>
    <w:rsid w:val="007E7A97"/>
    <w:rsid w:val="007E7B08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355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8746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28E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56F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96E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B00CA"/>
    <w:rsid w:val="009B04C5"/>
    <w:rsid w:val="009B06B8"/>
    <w:rsid w:val="009B0B84"/>
    <w:rsid w:val="009B0BA8"/>
    <w:rsid w:val="009B13F8"/>
    <w:rsid w:val="009B17E7"/>
    <w:rsid w:val="009B20DA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9F7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9E7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A63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ED5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A0C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39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291B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7E3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418"/>
    <w:rsid w:val="00BB2C09"/>
    <w:rsid w:val="00BB30D3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B7C13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C35"/>
    <w:rsid w:val="00C02071"/>
    <w:rsid w:val="00C02271"/>
    <w:rsid w:val="00C02566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5A1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0D5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6CA"/>
    <w:rsid w:val="00D76A3A"/>
    <w:rsid w:val="00D77276"/>
    <w:rsid w:val="00D77439"/>
    <w:rsid w:val="00D77913"/>
    <w:rsid w:val="00D77AAF"/>
    <w:rsid w:val="00D8008E"/>
    <w:rsid w:val="00D8084C"/>
    <w:rsid w:val="00D809FE"/>
    <w:rsid w:val="00D80D6A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4B3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56F7"/>
    <w:rsid w:val="00DE6E46"/>
    <w:rsid w:val="00DE702D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152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4B8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2E59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5DD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475A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130C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tes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dmila.gal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ranka.lubur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sminka.mil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ejvanve\Desktop\Grafik%20za%20medij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okt%202012\za%20Graf%20I-X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6582753950137625E-2"/>
          <c:y val="5.8888892635895501E-2"/>
          <c:w val="0.89232142439786621"/>
          <c:h val="0.72433717326570735"/>
        </c:manualLayout>
      </c:layout>
      <c:lineChart>
        <c:grouping val="standard"/>
        <c:ser>
          <c:idx val="0"/>
          <c:order val="0"/>
          <c:spPr>
            <a:ln>
              <a:solidFill>
                <a:srgbClr val="003366"/>
              </a:solidFill>
            </a:ln>
          </c:spPr>
          <c:marker>
            <c:symbol val="none"/>
          </c:marker>
          <c:cat>
            <c:strRef>
              <c:f>'za medije grafik'!$A$2:$A$15</c:f>
              <c:strCache>
                <c:ptCount val="14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  <c:pt idx="13">
                  <c:v>X</c:v>
                </c:pt>
              </c:strCache>
            </c:strRef>
          </c:cat>
          <c:val>
            <c:numRef>
              <c:f>'za medije grafik'!$B$2:$B$15</c:f>
              <c:numCache>
                <c:formatCode>General</c:formatCode>
                <c:ptCount val="14"/>
                <c:pt idx="0">
                  <c:v>807</c:v>
                </c:pt>
                <c:pt idx="1">
                  <c:v>802</c:v>
                </c:pt>
                <c:pt idx="2">
                  <c:v>813</c:v>
                </c:pt>
                <c:pt idx="3">
                  <c:v>815</c:v>
                </c:pt>
                <c:pt idx="4">
                  <c:v>819</c:v>
                </c:pt>
                <c:pt idx="5">
                  <c:v>821</c:v>
                </c:pt>
                <c:pt idx="6">
                  <c:v>814</c:v>
                </c:pt>
                <c:pt idx="7">
                  <c:v>817</c:v>
                </c:pt>
                <c:pt idx="8">
                  <c:v>826</c:v>
                </c:pt>
                <c:pt idx="9">
                  <c:v>818</c:v>
                </c:pt>
                <c:pt idx="10">
                  <c:v>823</c:v>
                </c:pt>
                <c:pt idx="11">
                  <c:v>818</c:v>
                </c:pt>
                <c:pt idx="12">
                  <c:v>804</c:v>
                </c:pt>
                <c:pt idx="13">
                  <c:v>817</c:v>
                </c:pt>
              </c:numCache>
            </c:numRef>
          </c:val>
        </c:ser>
        <c:marker val="1"/>
        <c:axId val="81099776"/>
        <c:axId val="81105664"/>
      </c:lineChart>
      <c:catAx>
        <c:axId val="81099776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81105664"/>
        <c:crosses val="autoZero"/>
        <c:auto val="1"/>
        <c:lblAlgn val="ctr"/>
        <c:lblOffset val="100"/>
      </c:catAx>
      <c:valAx>
        <c:axId val="81105664"/>
        <c:scaling>
          <c:orientation val="minMax"/>
          <c:max val="84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ysClr val="windowText" lastClr="000000"/>
            </a:solidFill>
          </a:ln>
        </c:spPr>
        <c:crossAx val="81099776"/>
        <c:crosses val="autoZero"/>
        <c:crossBetween val="between"/>
        <c:majorUnit val="40"/>
        <c:minorUnit val="8"/>
      </c:valAx>
      <c:spPr>
        <a:ln w="3175">
          <a:solidFill>
            <a:sysClr val="window" lastClr="FFFFFF">
              <a:lumMod val="75000"/>
            </a:sysClr>
          </a:solidFill>
        </a:ln>
      </c:spPr>
    </c:plotArea>
    <c:plotVisOnly val="1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3856345292334968"/>
          <c:h val="0.71224919801691455"/>
        </c:manualLayout>
      </c:layout>
      <c:lineChart>
        <c:grouping val="standard"/>
        <c:ser>
          <c:idx val="0"/>
          <c:order val="0"/>
          <c:tx>
            <c:strRef>
              <c:f>zaOktobar2012!$A$2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spPr>
            <a:ln>
              <a:solidFill>
                <a:srgbClr val="003366"/>
              </a:solidFill>
            </a:ln>
          </c:spPr>
          <c:marker>
            <c:symbol val="none"/>
          </c:marker>
          <c:cat>
            <c:strRef>
              <c:f>zaOktobar2012!$B$1:$N$1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zaOktobar2012!$B$2:$N$2</c:f>
              <c:numCache>
                <c:formatCode>General</c:formatCode>
                <c:ptCount val="13"/>
                <c:pt idx="0">
                  <c:v>395756</c:v>
                </c:pt>
                <c:pt idx="1">
                  <c:v>393355</c:v>
                </c:pt>
                <c:pt idx="2">
                  <c:v>456660</c:v>
                </c:pt>
                <c:pt idx="3">
                  <c:v>290628</c:v>
                </c:pt>
                <c:pt idx="4">
                  <c:v>242652</c:v>
                </c:pt>
                <c:pt idx="5">
                  <c:v>474051</c:v>
                </c:pt>
                <c:pt idx="6">
                  <c:v>372455</c:v>
                </c:pt>
                <c:pt idx="7">
                  <c:v>382975</c:v>
                </c:pt>
                <c:pt idx="8">
                  <c:v>381177</c:v>
                </c:pt>
                <c:pt idx="9">
                  <c:v>427969</c:v>
                </c:pt>
                <c:pt idx="10">
                  <c:v>408779</c:v>
                </c:pt>
                <c:pt idx="11">
                  <c:v>419036</c:v>
                </c:pt>
                <c:pt idx="12">
                  <c:v>486152</c:v>
                </c:pt>
              </c:numCache>
            </c:numRef>
          </c:val>
        </c:ser>
        <c:ser>
          <c:idx val="1"/>
          <c:order val="1"/>
          <c:tx>
            <c:strRef>
              <c:f>zaOktobar2012!$A$3</c:f>
              <c:strCache>
                <c:ptCount val="1"/>
                <c:pt idx="0">
                  <c:v>извоз            </c:v>
                </c:pt>
              </c:strCache>
            </c:strRef>
          </c:tx>
          <c:spPr>
            <a:ln>
              <a:solidFill>
                <a:srgbClr val="99CC00"/>
              </a:solidFill>
            </a:ln>
          </c:spPr>
          <c:marker>
            <c:symbol val="none"/>
          </c:marker>
          <c:cat>
            <c:strRef>
              <c:f>zaOktobar2012!$B$1:$N$1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zaOktobar2012!$B$3:$N$3</c:f>
              <c:numCache>
                <c:formatCode>General</c:formatCode>
                <c:ptCount val="13"/>
                <c:pt idx="0">
                  <c:v>220845</c:v>
                </c:pt>
                <c:pt idx="1">
                  <c:v>225498</c:v>
                </c:pt>
                <c:pt idx="2">
                  <c:v>203576</c:v>
                </c:pt>
                <c:pt idx="3">
                  <c:v>158330</c:v>
                </c:pt>
                <c:pt idx="4">
                  <c:v>161327</c:v>
                </c:pt>
                <c:pt idx="5">
                  <c:v>214070</c:v>
                </c:pt>
                <c:pt idx="6">
                  <c:v>204803</c:v>
                </c:pt>
                <c:pt idx="7">
                  <c:v>227243</c:v>
                </c:pt>
                <c:pt idx="8">
                  <c:v>214185</c:v>
                </c:pt>
                <c:pt idx="9">
                  <c:v>218575</c:v>
                </c:pt>
                <c:pt idx="10">
                  <c:v>184558</c:v>
                </c:pt>
                <c:pt idx="11">
                  <c:v>237478</c:v>
                </c:pt>
                <c:pt idx="12">
                  <c:v>213888</c:v>
                </c:pt>
              </c:numCache>
            </c:numRef>
          </c:val>
        </c:ser>
        <c:marker val="1"/>
        <c:axId val="90208128"/>
        <c:axId val="90209664"/>
      </c:lineChart>
      <c:catAx>
        <c:axId val="90208128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90209664"/>
        <c:crosses val="autoZero"/>
        <c:auto val="1"/>
        <c:lblAlgn val="ctr"/>
        <c:lblOffset val="100"/>
      </c:catAx>
      <c:valAx>
        <c:axId val="90209664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\ ##0;\-#,##0" sourceLinked="0"/>
        <c:tickLblPos val="nextTo"/>
        <c:spPr>
          <a:ln w="6350">
            <a:solidFill>
              <a:schemeClr val="tx1"/>
            </a:solidFill>
          </a:ln>
        </c:spPr>
        <c:crossAx val="90208128"/>
        <c:crosses val="autoZero"/>
        <c:crossBetween val="between"/>
      </c:valAx>
      <c:spPr>
        <a:ln w="3175">
          <a:solidFill>
            <a:sysClr val="window" lastClr="FFFFFF">
              <a:lumMod val="75000"/>
            </a:sysClr>
          </a:solidFill>
        </a:ln>
      </c:spPr>
    </c:plotArea>
    <c:legend>
      <c:legendPos val="r"/>
      <c:layout>
        <c:manualLayout>
          <c:xMode val="edge"/>
          <c:yMode val="edge"/>
          <c:x val="0.8599650338962076"/>
          <c:y val="6.443095654709835E-2"/>
          <c:w val="0.13669099874979726"/>
          <c:h val="0.16743438320210188"/>
        </c:manualLayout>
      </c:layout>
    </c:legend>
    <c:plotVisOnly val="1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0.11516</cdr:x>
      <cdr:y>0.86735</cdr:y>
    </cdr:from>
    <cdr:to>
      <cdr:x>0.9501</cdr:x>
      <cdr:y>0.95918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7585" y="2199735"/>
          <a:ext cx="3752490" cy="232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Tahoma" pitchFamily="34" charset="0"/>
              <a:ea typeface="Tahoma" pitchFamily="34" charset="0"/>
              <a:cs typeface="Tahoma" pitchFamily="34" charset="0"/>
            </a:rPr>
            <a:t>     2011                                                     2012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4847-F419-4098-843E-761D562E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12611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3</cp:revision>
  <cp:lastPrinted>2012-11-20T11:07:00Z</cp:lastPrinted>
  <dcterms:created xsi:type="dcterms:W3CDTF">2012-11-20T11:27:00Z</dcterms:created>
  <dcterms:modified xsi:type="dcterms:W3CDTF">2012-11-20T11:43:00Z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