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256"/>
        <w:gridCol w:w="2818"/>
      </w:tblGrid>
      <w:tr w:rsidR="005D5311" w:rsidRPr="001D051B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051B">
              <w:rPr>
                <w:rFonts w:ascii="Tahoma" w:hAnsi="Tahoma" w:cs="Tahoma"/>
              </w:rPr>
              <w:br w:type="column"/>
            </w:r>
            <w:r w:rsidRPr="001D051B">
              <w:rPr>
                <w:rFonts w:ascii="Tahoma" w:hAnsi="Tahoma" w:cs="Tahoma"/>
              </w:rPr>
              <w:br w:type="column"/>
            </w:r>
            <w:r w:rsidRPr="001D051B">
              <w:rPr>
                <w:rFonts w:ascii="Tahoma" w:hAnsi="Tahoma" w:cs="Tahoma"/>
              </w:rPr>
              <w:br w:type="page"/>
            </w:r>
            <w:r w:rsidRPr="001D051B">
              <w:rPr>
                <w:rFonts w:ascii="Tahoma" w:hAnsi="Tahoma" w:cs="Tahoma"/>
              </w:rPr>
              <w:br w:type="page"/>
            </w:r>
            <w:r w:rsidR="008B47D1" w:rsidRPr="001D051B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50051" cy="672860"/>
                  <wp:effectExtent l="19050" t="0" r="0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7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F12E5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1F497D" w:themeColor="text2"/>
                <w:sz w:val="16"/>
                <w:lang w:val="sr-Cyrl-BA"/>
              </w:rPr>
            </w:pPr>
            <w:r w:rsidRPr="001D051B">
              <w:rPr>
                <w:rFonts w:ascii="Tahoma" w:hAnsi="Tahoma" w:cs="Tahoma"/>
                <w:sz w:val="16"/>
                <w:lang w:val="sr-Cyrl-BA"/>
              </w:rPr>
              <w:t xml:space="preserve">                   </w:t>
            </w:r>
            <w:r w:rsidR="005D5311" w:rsidRPr="001D051B">
              <w:rPr>
                <w:rFonts w:ascii="Tahoma" w:hAnsi="Tahoma" w:cs="Tahoma"/>
                <w:sz w:val="16"/>
                <w:lang w:val="sr-Cyrl-BA"/>
              </w:rPr>
              <w:t>[</w:t>
            </w:r>
            <w:r w:rsidR="006B0272" w:rsidRPr="00F12E59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22</w:t>
            </w:r>
            <w:r w:rsidR="005D5311" w:rsidRPr="00F12E59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6B0272" w:rsidRPr="00F12E59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октобар</w:t>
            </w:r>
            <w:r w:rsidRPr="00F12E59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E72BD4" w:rsidRPr="00F12E59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="005D5311" w:rsidRPr="00F12E59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</w:p>
          <w:p w:rsidR="005D5311" w:rsidRPr="001D051B" w:rsidRDefault="006B0272" w:rsidP="006E212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F12E59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10</w:t>
            </w:r>
            <w:r w:rsidR="005D5311" w:rsidRPr="00F12E59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E72BD4" w:rsidRPr="00F12E59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2</w:t>
            </w:r>
          </w:p>
        </w:tc>
      </w:tr>
      <w:tr w:rsidR="005D5311" w:rsidRPr="001D051B" w:rsidTr="008B47D1">
        <w:trPr>
          <w:cantSplit/>
        </w:trPr>
        <w:tc>
          <w:tcPr>
            <w:tcW w:w="5385" w:type="dxa"/>
            <w:vAlign w:val="center"/>
          </w:tcPr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1D051B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051B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93339" w:rsidRPr="001D051B" w:rsidTr="000F7E7B">
        <w:trPr>
          <w:trHeight w:val="321"/>
          <w:jc w:val="center"/>
        </w:trPr>
        <w:tc>
          <w:tcPr>
            <w:tcW w:w="10319" w:type="dxa"/>
            <w:shd w:val="clear" w:color="auto" w:fill="336699"/>
          </w:tcPr>
          <w:p w:rsidR="00193339" w:rsidRPr="001D051B" w:rsidRDefault="006B0272" w:rsidP="00EF319F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1D051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октобар</w:t>
            </w:r>
            <w:r w:rsidR="007E158B" w:rsidRPr="001D051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E72BD4" w:rsidRPr="001D051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1D051B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1D051B" w:rsidTr="000F7E7B">
        <w:trPr>
          <w:trHeight w:val="264"/>
          <w:jc w:val="center"/>
        </w:trPr>
        <w:tc>
          <w:tcPr>
            <w:tcW w:w="10319" w:type="dxa"/>
            <w:shd w:val="clear" w:color="auto" w:fill="336699"/>
          </w:tcPr>
          <w:p w:rsidR="00193339" w:rsidRPr="001D051B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1D051B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0F7E7B" w:rsidRPr="001D051B" w:rsidRDefault="000F7E7B" w:rsidP="000F7E7B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E454B8" w:rsidRDefault="00E454B8" w:rsidP="000F7E7B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RS" w:eastAsia="sr-Latn-BA"/>
        </w:rPr>
      </w:pPr>
      <w:r>
        <w:rPr>
          <w:rFonts w:ascii="Tahoma" w:hAnsi="Tahoma" w:cs="Tahoma"/>
          <w:b/>
          <w:bCs/>
          <w:sz w:val="28"/>
          <w:szCs w:val="28"/>
          <w:lang w:val="sr-Cyrl-RS" w:eastAsia="sr-Latn-BA"/>
        </w:rPr>
        <w:t>Т</w:t>
      </w:r>
      <w:r w:rsidR="000F7E7B"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ромјесечн</w:t>
      </w:r>
      <w:r>
        <w:rPr>
          <w:rFonts w:ascii="Tahoma" w:hAnsi="Tahoma" w:cs="Tahoma"/>
          <w:b/>
          <w:bCs/>
          <w:sz w:val="28"/>
          <w:szCs w:val="28"/>
          <w:lang w:val="sr-Cyrl-RS" w:eastAsia="sr-Latn-BA"/>
        </w:rPr>
        <w:t>и</w:t>
      </w:r>
      <w:r w:rsidR="000F7E7B"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бруто домаћ</w:t>
      </w:r>
      <w:r>
        <w:rPr>
          <w:rFonts w:ascii="Tahoma" w:hAnsi="Tahoma" w:cs="Tahoma"/>
          <w:b/>
          <w:bCs/>
          <w:sz w:val="28"/>
          <w:szCs w:val="28"/>
          <w:lang w:val="sr-Cyrl-RS" w:eastAsia="sr-Latn-BA"/>
        </w:rPr>
        <w:t>и</w:t>
      </w:r>
      <w:r w:rsidR="000F7E7B"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производ</w:t>
      </w:r>
      <w:r>
        <w:rPr>
          <w:rFonts w:ascii="Tahoma" w:hAnsi="Tahoma" w:cs="Tahoma"/>
          <w:b/>
          <w:bCs/>
          <w:sz w:val="28"/>
          <w:szCs w:val="28"/>
          <w:lang w:val="sr-Cyrl-RS" w:eastAsia="sr-Latn-BA"/>
        </w:rPr>
        <w:t xml:space="preserve">  </w:t>
      </w:r>
    </w:p>
    <w:p w:rsidR="000F7E7B" w:rsidRPr="001D051B" w:rsidRDefault="000F7E7B" w:rsidP="000F7E7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(II тромјесечје 201</w:t>
      </w:r>
      <w:r w:rsidRPr="001D051B">
        <w:rPr>
          <w:rFonts w:ascii="Tahoma" w:hAnsi="Tahoma" w:cs="Tahoma"/>
          <w:b/>
          <w:bCs/>
          <w:sz w:val="28"/>
          <w:szCs w:val="28"/>
          <w:lang w:val="sr-Cyrl-CS" w:eastAsia="sr-Latn-BA"/>
        </w:rPr>
        <w:t>2</w:t>
      </w:r>
      <w:r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 тромјесечје 20</w:t>
      </w:r>
      <w:r w:rsidRPr="001D051B">
        <w:rPr>
          <w:rFonts w:ascii="Tahoma" w:hAnsi="Tahoma" w:cs="Tahoma"/>
          <w:b/>
          <w:bCs/>
          <w:sz w:val="28"/>
          <w:szCs w:val="28"/>
          <w:lang w:val="sr-Cyrl-CS" w:eastAsia="sr-Latn-BA"/>
        </w:rPr>
        <w:t>11</w:t>
      </w:r>
      <w:r w:rsidRPr="001D051B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0F7E7B" w:rsidRPr="001D051B" w:rsidRDefault="000F7E7B" w:rsidP="000F7E7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0F7E7B" w:rsidRPr="001D051B" w:rsidRDefault="000F7E7B" w:rsidP="000F7E7B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 w:rsidRPr="001D051B">
        <w:rPr>
          <w:rFonts w:ascii="Tahoma" w:hAnsi="Tahoma" w:cs="Tahoma"/>
          <w:sz w:val="18"/>
          <w:szCs w:val="18"/>
          <w:lang w:val="sr-Latn-BA" w:eastAsia="sr-Latn-BA"/>
        </w:rPr>
        <w:t>Тромјесечни бруто домаћи производ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>,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="00CA65A1" w:rsidRPr="001D051B">
        <w:rPr>
          <w:rFonts w:ascii="Tahoma" w:hAnsi="Tahoma" w:cs="Tahoma"/>
          <w:sz w:val="18"/>
          <w:szCs w:val="18"/>
          <w:lang w:val="sr-Cyrl-BA" w:eastAsia="sr-Latn-BA"/>
        </w:rPr>
        <w:t>другом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="00CA65A1" w:rsidRPr="001D051B">
        <w:rPr>
          <w:rFonts w:ascii="Tahoma" w:hAnsi="Tahoma" w:cs="Tahoma"/>
          <w:sz w:val="18"/>
          <w:szCs w:val="18"/>
          <w:lang w:val="sr-Cyrl-CS" w:eastAsia="sr-Latn-BA"/>
        </w:rPr>
        <w:t>2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. године у односу на </w:t>
      </w:r>
      <w:r w:rsidR="00CA65A1" w:rsidRPr="001D051B">
        <w:rPr>
          <w:rFonts w:ascii="Tahoma" w:hAnsi="Tahoma" w:cs="Tahoma"/>
          <w:sz w:val="18"/>
          <w:szCs w:val="18"/>
          <w:lang w:val="sr-Cyrl-CS" w:eastAsia="sr-Latn-BA"/>
        </w:rPr>
        <w:t>друго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тромјесечје 20</w:t>
      </w:r>
      <w:r w:rsidR="00CA65A1" w:rsidRPr="001D051B">
        <w:rPr>
          <w:rFonts w:ascii="Tahoma" w:hAnsi="Tahoma" w:cs="Tahoma"/>
          <w:sz w:val="18"/>
          <w:szCs w:val="18"/>
          <w:lang w:val="sr-Cyrl-CS" w:eastAsia="sr-Latn-BA"/>
        </w:rPr>
        <w:t>11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>.</w:t>
      </w:r>
      <w:r w:rsidR="00CA65A1"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proofErr w:type="gramStart"/>
      <w:r w:rsidR="00CA65A1" w:rsidRPr="001D051B">
        <w:rPr>
          <w:rFonts w:ascii="Tahoma" w:hAnsi="Tahoma" w:cs="Tahoma"/>
          <w:sz w:val="18"/>
          <w:szCs w:val="18"/>
          <w:lang w:eastAsia="sr-Latn-BA"/>
        </w:rPr>
        <w:t>г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proofErr w:type="gramEnd"/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, 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реално је </w:t>
      </w:r>
      <w:r w:rsidR="00CA65A1" w:rsidRPr="001D051B">
        <w:rPr>
          <w:rFonts w:ascii="Tahoma" w:hAnsi="Tahoma" w:cs="Tahoma"/>
          <w:sz w:val="18"/>
          <w:szCs w:val="18"/>
          <w:lang w:val="sr-Cyrl-CS" w:eastAsia="sr-Latn-BA"/>
        </w:rPr>
        <w:t>мањи</w:t>
      </w:r>
      <w:r w:rsidR="00CA65A1"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 за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Pr="001D051B">
        <w:rPr>
          <w:rFonts w:ascii="Tahoma" w:hAnsi="Tahoma" w:cs="Tahoma"/>
          <w:sz w:val="18"/>
          <w:szCs w:val="18"/>
          <w:lang w:eastAsia="sr-Latn-BA"/>
        </w:rPr>
        <w:t>0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Pr="001D051B">
        <w:rPr>
          <w:rFonts w:ascii="Tahoma" w:hAnsi="Tahoma" w:cs="Tahoma"/>
          <w:sz w:val="18"/>
          <w:szCs w:val="18"/>
          <w:lang w:eastAsia="sr-Latn-BA"/>
        </w:rPr>
        <w:t>3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>%</w:t>
      </w:r>
      <w:r w:rsidRPr="001D051B">
        <w:rPr>
          <w:rFonts w:ascii="Tahoma" w:hAnsi="Tahoma" w:cs="Tahoma"/>
          <w:sz w:val="18"/>
          <w:szCs w:val="18"/>
          <w:lang w:eastAsia="sr-Latn-BA"/>
        </w:rPr>
        <w:t>.</w:t>
      </w:r>
    </w:p>
    <w:p w:rsidR="000F7E7B" w:rsidRPr="001D051B" w:rsidRDefault="000F7E7B" w:rsidP="000F7E7B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Посматрано по подручјима Класификације дјелатности, највећи реални раст 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додате вриједности 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>остварен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 је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 у подручјима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 xml:space="preserve">Финансијско посредовање 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за </w:t>
      </w:r>
      <w:r w:rsidRPr="001D051B">
        <w:rPr>
          <w:rFonts w:ascii="Tahoma" w:hAnsi="Tahoma" w:cs="Tahoma"/>
          <w:sz w:val="18"/>
          <w:szCs w:val="18"/>
        </w:rPr>
        <w:t>4</w:t>
      </w:r>
      <w:r w:rsidRPr="001D051B">
        <w:rPr>
          <w:rFonts w:ascii="Tahoma" w:hAnsi="Tahoma" w:cs="Tahoma"/>
          <w:sz w:val="18"/>
          <w:szCs w:val="18"/>
          <w:lang w:val="ru-RU"/>
        </w:rPr>
        <w:t>,</w:t>
      </w:r>
      <w:r w:rsidRPr="001D051B">
        <w:rPr>
          <w:rFonts w:ascii="Tahoma" w:hAnsi="Tahoma" w:cs="Tahoma"/>
          <w:sz w:val="18"/>
          <w:szCs w:val="18"/>
        </w:rPr>
        <w:t>7</w:t>
      </w:r>
      <w:r w:rsidRPr="001D051B">
        <w:rPr>
          <w:rFonts w:ascii="Tahoma" w:hAnsi="Tahoma" w:cs="Tahoma"/>
          <w:sz w:val="18"/>
          <w:szCs w:val="18"/>
          <w:lang w:val="ru-RU"/>
        </w:rPr>
        <w:t>%</w:t>
      </w:r>
      <w:r w:rsidRPr="001D051B">
        <w:rPr>
          <w:rFonts w:ascii="Tahoma" w:hAnsi="Tahoma" w:cs="Tahoma"/>
          <w:sz w:val="18"/>
          <w:szCs w:val="18"/>
        </w:rPr>
        <w:t xml:space="preserve">, 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Образовање </w:t>
      </w:r>
      <w:bookmarkStart w:id="0" w:name="_GoBack"/>
      <w:bookmarkEnd w:id="0"/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за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3,</w:t>
      </w:r>
      <w:r w:rsidRPr="001D051B">
        <w:rPr>
          <w:rFonts w:ascii="Tahoma" w:hAnsi="Tahoma" w:cs="Tahoma"/>
          <w:sz w:val="18"/>
          <w:szCs w:val="18"/>
        </w:rPr>
        <w:t>5</w:t>
      </w:r>
      <w:r w:rsidRPr="001D051B">
        <w:rPr>
          <w:rFonts w:ascii="Tahoma" w:hAnsi="Tahoma" w:cs="Tahoma"/>
          <w:sz w:val="18"/>
          <w:szCs w:val="18"/>
          <w:lang w:val="sr-Cyrl-CS"/>
        </w:rPr>
        <w:t>%,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Остале јавне, комуналне, друштвене, социјалне и личне услужне дјелатности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за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3,</w:t>
      </w:r>
      <w:r w:rsidRPr="001D051B">
        <w:rPr>
          <w:rFonts w:ascii="Tahoma" w:hAnsi="Tahoma" w:cs="Tahoma"/>
          <w:sz w:val="18"/>
          <w:szCs w:val="18"/>
        </w:rPr>
        <w:t>1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Здравствени и социјални рад </w:t>
      </w:r>
      <w:r w:rsidRPr="001D051B">
        <w:rPr>
          <w:rFonts w:ascii="Tahoma" w:hAnsi="Tahoma" w:cs="Tahoma"/>
          <w:sz w:val="18"/>
          <w:szCs w:val="18"/>
          <w:lang w:val="sr-Cyrl-CS"/>
        </w:rPr>
        <w:t>за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</w:rPr>
        <w:t>3</w:t>
      </w:r>
      <w:r w:rsidRPr="001D051B">
        <w:rPr>
          <w:rFonts w:ascii="Tahoma" w:hAnsi="Tahoma" w:cs="Tahoma"/>
          <w:sz w:val="18"/>
          <w:szCs w:val="18"/>
          <w:lang w:val="sr-Cyrl-CS"/>
        </w:rPr>
        <w:t>,</w:t>
      </w:r>
      <w:r w:rsidRPr="001D051B">
        <w:rPr>
          <w:rFonts w:ascii="Tahoma" w:hAnsi="Tahoma" w:cs="Tahoma"/>
          <w:sz w:val="18"/>
          <w:szCs w:val="18"/>
        </w:rPr>
        <w:t>0</w:t>
      </w:r>
      <w:r w:rsidRPr="001D051B">
        <w:rPr>
          <w:rFonts w:ascii="Tahoma" w:hAnsi="Tahoma" w:cs="Tahoma"/>
          <w:sz w:val="18"/>
          <w:szCs w:val="18"/>
          <w:lang w:val="sr-Cyrl-CS"/>
        </w:rPr>
        <w:t>%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, Угоститељство </w:t>
      </w:r>
      <w:r w:rsidRPr="001D051B">
        <w:rPr>
          <w:rFonts w:ascii="Tahoma" w:hAnsi="Tahoma" w:cs="Tahoma"/>
          <w:sz w:val="18"/>
          <w:szCs w:val="18"/>
          <w:lang w:val="sr-Cyrl-CS"/>
        </w:rPr>
        <w:t>за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</w:rPr>
        <w:t>2</w:t>
      </w:r>
      <w:r w:rsidRPr="001D051B">
        <w:rPr>
          <w:rFonts w:ascii="Tahoma" w:hAnsi="Tahoma" w:cs="Tahoma"/>
          <w:sz w:val="18"/>
          <w:szCs w:val="18"/>
          <w:lang w:val="sr-Cyrl-CS"/>
        </w:rPr>
        <w:t>,</w:t>
      </w:r>
      <w:r w:rsidRPr="001D051B">
        <w:rPr>
          <w:rFonts w:ascii="Tahoma" w:hAnsi="Tahoma" w:cs="Tahoma"/>
          <w:sz w:val="18"/>
          <w:szCs w:val="18"/>
        </w:rPr>
        <w:t>9</w:t>
      </w:r>
      <w:r w:rsidRPr="001D051B">
        <w:rPr>
          <w:rFonts w:ascii="Tahoma" w:hAnsi="Tahoma" w:cs="Tahoma"/>
          <w:sz w:val="18"/>
          <w:szCs w:val="18"/>
          <w:lang w:val="sr-Cyrl-CS"/>
        </w:rPr>
        <w:t>%</w:t>
      </w:r>
      <w:r w:rsidRPr="001D051B">
        <w:rPr>
          <w:rFonts w:ascii="Tahoma" w:hAnsi="Tahoma" w:cs="Tahoma"/>
          <w:i/>
          <w:sz w:val="18"/>
          <w:szCs w:val="18"/>
        </w:rPr>
        <w:t>,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 xml:space="preserve">док је 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додата вриједност реално мања </w:t>
      </w:r>
      <w:r w:rsidRPr="001D051B">
        <w:rPr>
          <w:rFonts w:ascii="Tahoma" w:hAnsi="Tahoma" w:cs="Tahoma"/>
          <w:sz w:val="18"/>
          <w:szCs w:val="18"/>
          <w:lang w:val="sr-Latn-BA" w:eastAsia="sr-Latn-BA"/>
        </w:rPr>
        <w:t>у подручјима: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за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</w:rPr>
        <w:t>6</w:t>
      </w:r>
      <w:r w:rsidRPr="001D051B">
        <w:rPr>
          <w:rFonts w:ascii="Tahoma" w:hAnsi="Tahoma" w:cs="Tahoma"/>
          <w:sz w:val="18"/>
          <w:szCs w:val="18"/>
          <w:lang w:val="ru-RU"/>
        </w:rPr>
        <w:t>,</w:t>
      </w:r>
      <w:r w:rsidRPr="001D051B">
        <w:rPr>
          <w:rFonts w:ascii="Tahoma" w:hAnsi="Tahoma" w:cs="Tahoma"/>
          <w:sz w:val="18"/>
          <w:szCs w:val="18"/>
        </w:rPr>
        <w:t xml:space="preserve">0%,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Пољопривреда,</w:t>
      </w:r>
      <w:r w:rsidRPr="001D051B">
        <w:rPr>
          <w:rFonts w:ascii="Tahoma" w:hAnsi="Tahoma" w:cs="Tahoma"/>
          <w:i/>
          <w:sz w:val="18"/>
          <w:szCs w:val="18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 xml:space="preserve">лов и шумарство </w:t>
      </w:r>
      <w:r w:rsidRPr="001D051B">
        <w:rPr>
          <w:rFonts w:ascii="Tahoma" w:hAnsi="Tahoma" w:cs="Tahoma"/>
          <w:sz w:val="18"/>
          <w:szCs w:val="18"/>
          <w:lang w:val="ru-RU"/>
        </w:rPr>
        <w:t>за</w:t>
      </w:r>
      <w:r w:rsidRPr="001D051B">
        <w:rPr>
          <w:rFonts w:ascii="Tahoma" w:hAnsi="Tahoma" w:cs="Tahoma"/>
          <w:sz w:val="18"/>
          <w:szCs w:val="18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4</w:t>
      </w:r>
      <w:r w:rsidRPr="001D051B">
        <w:rPr>
          <w:rFonts w:ascii="Tahoma" w:hAnsi="Tahoma" w:cs="Tahoma"/>
          <w:sz w:val="18"/>
          <w:szCs w:val="18"/>
          <w:lang w:val="ru-RU"/>
        </w:rPr>
        <w:t>,</w:t>
      </w:r>
      <w:r w:rsidRPr="001D051B">
        <w:rPr>
          <w:rFonts w:ascii="Tahoma" w:hAnsi="Tahoma" w:cs="Tahoma"/>
          <w:sz w:val="18"/>
          <w:szCs w:val="18"/>
          <w:lang w:val="sr-Cyrl-BA"/>
        </w:rPr>
        <w:t>1</w:t>
      </w:r>
      <w:r w:rsidRPr="001D051B">
        <w:rPr>
          <w:rFonts w:ascii="Tahoma" w:hAnsi="Tahoma" w:cs="Tahoma"/>
          <w:sz w:val="18"/>
          <w:szCs w:val="18"/>
          <w:lang w:val="ru-RU"/>
        </w:rPr>
        <w:t>%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и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Грађевинарство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за</w:t>
      </w:r>
      <w:r w:rsidRPr="001D051B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3</w:t>
      </w:r>
      <w:r w:rsidRPr="001D051B">
        <w:rPr>
          <w:rFonts w:ascii="Tahoma" w:hAnsi="Tahoma" w:cs="Tahoma"/>
          <w:sz w:val="18"/>
          <w:szCs w:val="18"/>
        </w:rPr>
        <w:t>,7%</w:t>
      </w:r>
      <w:r w:rsidRPr="001D051B">
        <w:rPr>
          <w:rFonts w:ascii="Tahoma" w:hAnsi="Tahoma" w:cs="Tahoma"/>
          <w:sz w:val="18"/>
          <w:szCs w:val="18"/>
          <w:lang w:val="sr-Cyrl-BA"/>
        </w:rPr>
        <w:t>.</w:t>
      </w:r>
    </w:p>
    <w:p w:rsidR="000F7E7B" w:rsidRPr="00BB30D3" w:rsidRDefault="000F7E7B" w:rsidP="000F7E7B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 w:rsidRPr="001D051B">
        <w:rPr>
          <w:rFonts w:ascii="Tahoma" w:hAnsi="Tahoma" w:cs="Tahoma"/>
          <w:sz w:val="18"/>
          <w:szCs w:val="18"/>
          <w:lang w:val="sr-Latn-BA" w:eastAsia="sr-Latn-BA"/>
        </w:rPr>
        <w:t>У земљама из окружења</w:t>
      </w:r>
      <w:r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 забиљежене су сљедеће стопе реалног раста бруто домаћег производа за друго тромјесечје 2012. године у односу на исто тромјесечје 2011. године и то: Словенија (-3,2%), </w:t>
      </w:r>
      <w:r w:rsidR="00BB30D3" w:rsidRPr="001D051B">
        <w:rPr>
          <w:rFonts w:ascii="Tahoma" w:hAnsi="Tahoma" w:cs="Tahoma"/>
          <w:sz w:val="18"/>
          <w:szCs w:val="18"/>
          <w:lang w:val="sr-Cyrl-CS" w:eastAsia="sr-Latn-BA"/>
        </w:rPr>
        <w:t>Хрватска (-2,2%)</w:t>
      </w:r>
      <w:r w:rsidR="00BB30D3">
        <w:rPr>
          <w:rFonts w:ascii="Tahoma" w:hAnsi="Tahoma" w:cs="Tahoma"/>
          <w:sz w:val="18"/>
          <w:szCs w:val="18"/>
          <w:lang w:eastAsia="sr-Latn-BA"/>
        </w:rPr>
        <w:t>,</w:t>
      </w:r>
      <w:r w:rsidR="00BB30D3" w:rsidRPr="001D051B">
        <w:rPr>
          <w:rFonts w:ascii="Tahoma" w:hAnsi="Tahoma" w:cs="Tahoma"/>
          <w:sz w:val="18"/>
          <w:szCs w:val="18"/>
          <w:lang w:val="sr-Cyrl-CS" w:eastAsia="sr-Latn-BA"/>
        </w:rPr>
        <w:t xml:space="preserve"> Македонија (-0,9%) и </w:t>
      </w:r>
      <w:r w:rsidR="00BB30D3">
        <w:rPr>
          <w:rFonts w:ascii="Tahoma" w:hAnsi="Tahoma" w:cs="Tahoma"/>
          <w:sz w:val="18"/>
          <w:szCs w:val="18"/>
          <w:lang w:val="sr-Cyrl-CS" w:eastAsia="sr-Latn-BA"/>
        </w:rPr>
        <w:t>Србија (-0,8%)</w:t>
      </w:r>
      <w:r w:rsidR="00BB30D3">
        <w:rPr>
          <w:rFonts w:ascii="Tahoma" w:hAnsi="Tahoma" w:cs="Tahoma"/>
          <w:sz w:val="18"/>
          <w:szCs w:val="18"/>
          <w:lang w:eastAsia="sr-Latn-BA"/>
        </w:rPr>
        <w:t>.</w:t>
      </w:r>
    </w:p>
    <w:p w:rsidR="000F7E7B" w:rsidRPr="001D051B" w:rsidRDefault="000F7E7B" w:rsidP="000F7E7B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</w:p>
    <w:p w:rsidR="00BD55F5" w:rsidRPr="001D051B" w:rsidRDefault="00BD55F5" w:rsidP="00094E6E">
      <w:pPr>
        <w:tabs>
          <w:tab w:val="left" w:pos="1985"/>
        </w:tabs>
        <w:jc w:val="both"/>
        <w:rPr>
          <w:rFonts w:ascii="Tahoma" w:hAnsi="Tahoma" w:cs="Tahoma"/>
        </w:rPr>
      </w:pPr>
    </w:p>
    <w:p w:rsidR="000F7E7B" w:rsidRPr="001D051B" w:rsidRDefault="000F7E7B" w:rsidP="00094E6E">
      <w:pPr>
        <w:tabs>
          <w:tab w:val="left" w:pos="1985"/>
        </w:tabs>
        <w:jc w:val="both"/>
        <w:rPr>
          <w:rFonts w:ascii="Tahoma" w:hAnsi="Tahoma" w:cs="Tahoma"/>
        </w:rPr>
      </w:pPr>
    </w:p>
    <w:p w:rsidR="000C3D45" w:rsidRDefault="000F7E7B" w:rsidP="004629F9">
      <w:pPr>
        <w:rPr>
          <w:rFonts w:ascii="Tahoma" w:hAnsi="Tahoma" w:cs="Tahoma"/>
          <w:b/>
          <w:sz w:val="28"/>
          <w:szCs w:val="28"/>
          <w:lang w:val="sr-Cyrl-CS"/>
        </w:rPr>
      </w:pPr>
      <w:r w:rsidRPr="000C3D45">
        <w:rPr>
          <w:rFonts w:ascii="Tahoma" w:hAnsi="Tahoma" w:cs="Tahoma"/>
          <w:b/>
          <w:sz w:val="28"/>
          <w:szCs w:val="28"/>
          <w:lang w:val="sr-Cyrl-CS"/>
        </w:rPr>
        <w:t>Остварене инвестиције за 2011. годину 1 359 836 000 КМ</w:t>
      </w:r>
    </w:p>
    <w:p w:rsidR="000F7E7B" w:rsidRPr="000C3D45" w:rsidRDefault="000F7E7B" w:rsidP="004629F9">
      <w:pPr>
        <w:rPr>
          <w:rFonts w:ascii="Tahoma" w:hAnsi="Tahoma" w:cs="Tahoma"/>
          <w:b/>
          <w:sz w:val="28"/>
          <w:szCs w:val="28"/>
          <w:lang w:val="sr-Cyrl-CS"/>
        </w:rPr>
      </w:pPr>
      <w:r w:rsidRPr="000C3D45">
        <w:rPr>
          <w:rFonts w:ascii="Tahoma" w:hAnsi="Tahoma" w:cs="Tahoma"/>
          <w:b/>
          <w:sz w:val="28"/>
          <w:szCs w:val="28"/>
          <w:lang w:val="sr-Cyrl-CS"/>
        </w:rPr>
        <w:t>(коначни подаци)</w:t>
      </w:r>
    </w:p>
    <w:p w:rsidR="000F7E7B" w:rsidRPr="001D051B" w:rsidRDefault="000F7E7B" w:rsidP="00094E6E">
      <w:pPr>
        <w:tabs>
          <w:tab w:val="left" w:pos="1985"/>
        </w:tabs>
        <w:jc w:val="both"/>
        <w:rPr>
          <w:rFonts w:ascii="Tahoma" w:hAnsi="Tahoma" w:cs="Tahoma"/>
        </w:rPr>
      </w:pPr>
    </w:p>
    <w:tbl>
      <w:tblPr>
        <w:tblW w:w="10334" w:type="dxa"/>
        <w:jc w:val="center"/>
        <w:tblInd w:w="2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4"/>
      </w:tblGrid>
      <w:tr w:rsidR="000F7E7B" w:rsidRPr="001D051B" w:rsidTr="004427B0">
        <w:trPr>
          <w:trHeight w:hRule="exact" w:val="1134"/>
          <w:jc w:val="center"/>
        </w:trPr>
        <w:tc>
          <w:tcPr>
            <w:tcW w:w="10334" w:type="dxa"/>
            <w:tcMar>
              <w:left w:w="57" w:type="dxa"/>
              <w:right w:w="57" w:type="dxa"/>
            </w:tcMar>
          </w:tcPr>
          <w:p w:rsidR="000F7E7B" w:rsidRPr="001D051B" w:rsidRDefault="000F7E7B" w:rsidP="006B0272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1D051B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Остварене инвестиције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пословних субјеката (коначни подаци), чије је сједиште у Републици Српској</w:t>
            </w:r>
            <w:r w:rsidR="005C23B7" w:rsidRPr="001D051B">
              <w:rPr>
                <w:rFonts w:ascii="Tahoma" w:hAnsi="Tahoma" w:cs="Tahoma"/>
                <w:sz w:val="18"/>
                <w:szCs w:val="18"/>
                <w:lang w:val="sr-Cyrl-BA"/>
              </w:rPr>
              <w:t>,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у 2011. години износиле </w:t>
            </w:r>
            <w:r w:rsidR="005C23B7"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су 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>1 359 836 000 КМ. У структури инвестиционих улагања</w:t>
            </w:r>
            <w:r w:rsidR="005C23B7" w:rsidRPr="001D051B">
              <w:rPr>
                <w:rFonts w:ascii="Tahoma" w:hAnsi="Tahoma" w:cs="Tahoma"/>
                <w:sz w:val="18"/>
                <w:szCs w:val="18"/>
                <w:lang w:val="sr-Cyrl-BA"/>
              </w:rPr>
              <w:t>,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према дјелатности инвеститора</w:t>
            </w:r>
            <w:r w:rsidR="005C23B7" w:rsidRPr="001D051B">
              <w:rPr>
                <w:rFonts w:ascii="Tahoma" w:hAnsi="Tahoma" w:cs="Tahoma"/>
                <w:sz w:val="18"/>
                <w:szCs w:val="18"/>
                <w:lang w:val="sr-Cyrl-BA"/>
              </w:rPr>
              <w:t>,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највише учествују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Државна управа, одбрана и обавезно социјално осигурање 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са 26,9%,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Прерађивачка индустрија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16,2%,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Саобраћај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складиштење и комуникације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12,8%, итд.</w:t>
            </w:r>
          </w:p>
          <w:p w:rsidR="000F7E7B" w:rsidRPr="001D051B" w:rsidRDefault="000F7E7B" w:rsidP="006B0272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</w:tc>
      </w:tr>
      <w:tr w:rsidR="000F7E7B" w:rsidRPr="001D051B" w:rsidTr="004427B0">
        <w:trPr>
          <w:trHeight w:hRule="exact" w:val="1800"/>
          <w:jc w:val="center"/>
        </w:trPr>
        <w:tc>
          <w:tcPr>
            <w:tcW w:w="10334" w:type="dxa"/>
            <w:tcMar>
              <w:left w:w="57" w:type="dxa"/>
              <w:right w:w="57" w:type="dxa"/>
            </w:tcMar>
          </w:tcPr>
          <w:p w:rsidR="000F7E7B" w:rsidRPr="001D051B" w:rsidRDefault="000F7E7B" w:rsidP="005C23B7">
            <w:pPr>
              <w:tabs>
                <w:tab w:val="left" w:pos="1134"/>
              </w:tabs>
              <w:spacing w:after="120"/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>Остварене инвестиције пословних субјеката регистрованих на територији Републике Српске у нова стална средства, према намјени инвестиција, у 2011. години износе 1 232 679 000 КМ. На територији Републике Српске уложено је            1 221 665 000 КМ (99,1%), док је на територији Федерације БиХ и Брчко Дистрикта БиХ уложено 11 014 000 КМ (0,9%).</w:t>
            </w:r>
          </w:p>
          <w:p w:rsidR="000F7E7B" w:rsidRPr="001D051B" w:rsidRDefault="000F7E7B" w:rsidP="005C23B7">
            <w:pPr>
              <w:tabs>
                <w:tab w:val="left" w:pos="1134"/>
              </w:tabs>
              <w:spacing w:after="120"/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У структури инвестиционих улагања у нова стална средства на територији Републике Српске према намјени највише учествују,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Грађевинарство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20,9%,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Прерађивачка индустрија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14,1%, </w:t>
            </w:r>
            <w:r w:rsidRPr="001D051B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Саобраћај, складиштење и комуникације</w:t>
            </w:r>
            <w:r w:rsidRPr="001D051B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са 13,2%. </w:t>
            </w:r>
          </w:p>
        </w:tc>
      </w:tr>
    </w:tbl>
    <w:p w:rsidR="000F7E7B" w:rsidRDefault="000F7E7B" w:rsidP="00094E6E">
      <w:pPr>
        <w:jc w:val="both"/>
        <w:rPr>
          <w:rFonts w:ascii="Tahoma" w:hAnsi="Tahoma" w:cs="Tahoma"/>
          <w:b/>
          <w:sz w:val="28"/>
          <w:szCs w:val="28"/>
        </w:rPr>
      </w:pPr>
    </w:p>
    <w:p w:rsidR="003B695B" w:rsidRDefault="003B695B" w:rsidP="00094E6E">
      <w:pPr>
        <w:jc w:val="both"/>
        <w:rPr>
          <w:rFonts w:ascii="Tahoma" w:hAnsi="Tahoma" w:cs="Tahoma"/>
          <w:b/>
          <w:sz w:val="28"/>
          <w:szCs w:val="28"/>
        </w:rPr>
      </w:pPr>
    </w:p>
    <w:p w:rsidR="003B695B" w:rsidRPr="004A79F4" w:rsidRDefault="003B695B" w:rsidP="003B695B">
      <w:pPr>
        <w:jc w:val="both"/>
        <w:rPr>
          <w:rFonts w:ascii="Tahoma" w:hAnsi="Tahoma" w:cs="Tahoma"/>
          <w:lang w:val="sr-Cyrl-CS"/>
        </w:rPr>
      </w:pPr>
      <w:r w:rsidRPr="004A79F4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4A79F4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4A79F4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4A79F4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4A79F4">
        <w:rPr>
          <w:rFonts w:ascii="Tahoma" w:hAnsi="Tahoma" w:cs="Tahoma"/>
          <w:b/>
          <w:sz w:val="28"/>
          <w:szCs w:val="28"/>
          <w:lang w:val="sr-Cyrl-CS"/>
        </w:rPr>
        <w:t>септембру 804</w:t>
      </w:r>
      <w:r w:rsidRPr="004A79F4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3B695B" w:rsidRPr="004A79F4" w:rsidRDefault="003B695B" w:rsidP="003B695B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4A79F4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4A79F4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4A79F4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4A79F4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4A79F4">
        <w:rPr>
          <w:rFonts w:ascii="Tahoma" w:hAnsi="Tahoma" w:cs="Tahoma"/>
          <w:sz w:val="24"/>
          <w:szCs w:val="24"/>
          <w:lang w:val="sr-Cyrl-CS"/>
        </w:rPr>
        <w:t>271</w:t>
      </w:r>
      <w:r w:rsidRPr="004A79F4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4A79F4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4A79F4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4A79F4">
        <w:rPr>
          <w:rFonts w:ascii="Tahoma" w:hAnsi="Tahoma" w:cs="Tahoma"/>
          <w:sz w:val="24"/>
          <w:szCs w:val="24"/>
          <w:lang w:val="sr-Cyrl-CS"/>
        </w:rPr>
        <w:t xml:space="preserve"> 551 КМ</w:t>
      </w:r>
    </w:p>
    <w:p w:rsidR="003B695B" w:rsidRPr="004A79F4" w:rsidRDefault="003B695B" w:rsidP="003B695B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3B695B" w:rsidRPr="004A79F4" w:rsidRDefault="003B695B" w:rsidP="003B695B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4A79F4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4A79F4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4A79F4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4A79F4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4A79F4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исплаћена у септембру 2012.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4A79F4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804 КМ</w:t>
      </w:r>
      <w:r w:rsidRPr="004A79F4">
        <w:rPr>
          <w:rFonts w:ascii="Tahoma" w:hAnsi="Tahoma" w:cs="Tahoma"/>
          <w:sz w:val="18"/>
          <w:szCs w:val="18"/>
          <w:lang w:val="hr-HR"/>
        </w:rPr>
        <w:t>,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4A79F4">
        <w:rPr>
          <w:rFonts w:ascii="Tahoma" w:hAnsi="Tahoma" w:cs="Tahoma"/>
          <w:sz w:val="18"/>
          <w:szCs w:val="18"/>
          <w:lang w:val="sr-Cyrl-CS"/>
        </w:rPr>
        <w:t>росјечна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1 325 КМ. </w:t>
      </w:r>
    </w:p>
    <w:p w:rsidR="003B695B" w:rsidRPr="004A79F4" w:rsidRDefault="003B695B" w:rsidP="003B695B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695B" w:rsidRPr="004A79F4" w:rsidRDefault="003B695B" w:rsidP="003B695B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4A79F4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септембру 2012. године у односу на август 2012. године мања је номинално за 1,7% а реално за 2,5%. У односу на просјечну нето плату у 2011. години, просјечна нето плата у септембру 2012. године мања је номинално за 0,7%, а реално за 2,5%. У септембру 2012. године у односу на исти мјесец прошле године просјечна нето плата номинално је мања за 0,5% док је </w:t>
      </w:r>
      <w:r w:rsidRPr="004A79F4">
        <w:rPr>
          <w:rFonts w:ascii="Tahoma" w:hAnsi="Tahoma" w:cs="Tahoma"/>
          <w:sz w:val="18"/>
          <w:szCs w:val="18"/>
          <w:lang w:val="sr-Cyrl-BA"/>
        </w:rPr>
        <w:t>реално мања за 2,9%.</w:t>
      </w:r>
    </w:p>
    <w:p w:rsidR="003B695B" w:rsidRPr="004A79F4" w:rsidRDefault="003B695B" w:rsidP="003B695B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B695B" w:rsidRPr="004A79F4" w:rsidRDefault="003B695B" w:rsidP="003B695B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4A79F4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септембру 2012. године, посматрано по подручјима дјелатности, исплаћена је у подручју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и износи 1 271 КМ, а најнижа у подручју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 551 КМ.</w:t>
      </w:r>
    </w:p>
    <w:p w:rsidR="003B695B" w:rsidRPr="004A79F4" w:rsidRDefault="003B695B" w:rsidP="003B695B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3B695B" w:rsidRPr="004A79F4" w:rsidRDefault="003B695B" w:rsidP="003B695B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4A79F4">
        <w:rPr>
          <w:rFonts w:ascii="Tahoma" w:hAnsi="Tahoma" w:cs="Tahoma"/>
          <w:sz w:val="18"/>
          <w:szCs w:val="18"/>
          <w:lang w:val="sr-Cyrl-CS"/>
        </w:rPr>
        <w:lastRenderedPageBreak/>
        <w:t xml:space="preserve">У септембру 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4A79F4">
        <w:rPr>
          <w:rFonts w:ascii="Tahoma" w:hAnsi="Tahoma" w:cs="Tahoma"/>
          <w:sz w:val="18"/>
          <w:szCs w:val="18"/>
          <w:lang w:val="sr-Cyrl-CS"/>
        </w:rPr>
        <w:t>август</w:t>
      </w:r>
      <w:r w:rsidRPr="004A79F4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4A79F4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 Рибарство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 за 3,2%,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>Пољопривреда, лов и шумарство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 за 1,6% и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>Трговина на велико и мало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 за 1,2% док је номинално нижа плата у подручјима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 Образовање </w:t>
      </w:r>
      <w:r w:rsidRPr="004A79F4">
        <w:rPr>
          <w:rFonts w:ascii="Tahoma" w:hAnsi="Tahoma" w:cs="Tahoma"/>
          <w:sz w:val="18"/>
          <w:szCs w:val="18"/>
          <w:lang w:val="sr-Cyrl-CS"/>
        </w:rPr>
        <w:t>за 4,7%,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 Грађевинарство 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за 2,4% и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>Пословање некретнинама</w:t>
      </w:r>
      <w:r w:rsidRPr="004A79F4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4A79F4">
        <w:rPr>
          <w:rFonts w:ascii="Tahoma" w:hAnsi="Tahoma" w:cs="Tahoma"/>
          <w:sz w:val="18"/>
          <w:szCs w:val="18"/>
          <w:lang w:val="sr-Cyrl-CS"/>
        </w:rPr>
        <w:t>2,3%.</w:t>
      </w:r>
      <w:r w:rsidRPr="004A79F4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3B695B" w:rsidRDefault="003B695B" w:rsidP="00094E6E">
      <w:pPr>
        <w:jc w:val="both"/>
        <w:rPr>
          <w:rFonts w:ascii="Tahoma" w:hAnsi="Tahoma" w:cs="Tahoma"/>
          <w:b/>
          <w:sz w:val="28"/>
          <w:szCs w:val="28"/>
        </w:rPr>
      </w:pPr>
    </w:p>
    <w:p w:rsidR="003B695B" w:rsidRDefault="003B695B" w:rsidP="003B695B">
      <w:pPr>
        <w:ind w:left="-142"/>
        <w:jc w:val="center"/>
        <w:outlineLvl w:val="0"/>
        <w:rPr>
          <w:rFonts w:ascii="Tahoma" w:hAnsi="Tahoma" w:cs="Tahoma"/>
          <w:color w:val="FF0000"/>
          <w:sz w:val="16"/>
          <w:szCs w:val="16"/>
        </w:rPr>
      </w:pPr>
      <w:r w:rsidRPr="003B695B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5984934" cy="3148641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695B" w:rsidRPr="004A79F4" w:rsidRDefault="003B695B" w:rsidP="003B695B">
      <w:pPr>
        <w:ind w:left="-142"/>
        <w:jc w:val="center"/>
        <w:outlineLvl w:val="0"/>
        <w:rPr>
          <w:rFonts w:ascii="Tahoma" w:hAnsi="Tahoma" w:cs="Tahoma"/>
          <w:sz w:val="16"/>
          <w:lang w:val="sr-Cyrl-CS"/>
        </w:rPr>
      </w:pPr>
      <w:r w:rsidRPr="004A79F4">
        <w:rPr>
          <w:rFonts w:ascii="Tahoma" w:hAnsi="Tahoma" w:cs="Tahoma"/>
          <w:sz w:val="16"/>
          <w:szCs w:val="16"/>
          <w:lang w:val="sr-Cyrl-BA"/>
        </w:rPr>
        <w:t>Графикон 1</w:t>
      </w:r>
      <w:r w:rsidRPr="004A79F4">
        <w:rPr>
          <w:rFonts w:ascii="Tahoma" w:hAnsi="Tahoma" w:cs="Tahoma"/>
          <w:sz w:val="16"/>
          <w:szCs w:val="16"/>
          <w:lang w:val="ru-RU"/>
        </w:rPr>
        <w:t>.</w:t>
      </w:r>
      <w:r w:rsidRPr="004A79F4">
        <w:rPr>
          <w:rFonts w:ascii="Tahoma" w:hAnsi="Tahoma" w:cs="Tahoma"/>
          <w:sz w:val="16"/>
          <w:szCs w:val="16"/>
          <w:lang w:val="sr-Cyrl-BA"/>
        </w:rPr>
        <w:t xml:space="preserve"> </w:t>
      </w:r>
      <w:r w:rsidRPr="004A79F4">
        <w:rPr>
          <w:rFonts w:ascii="Tahoma" w:hAnsi="Tahoma" w:cs="Tahoma"/>
          <w:sz w:val="16"/>
          <w:lang w:val="sr-Cyrl-CS"/>
        </w:rPr>
        <w:t>П</w:t>
      </w:r>
      <w:r w:rsidRPr="004A79F4">
        <w:rPr>
          <w:rFonts w:ascii="Tahoma" w:hAnsi="Tahoma" w:cs="Tahoma"/>
          <w:sz w:val="16"/>
          <w:lang w:val="ru-RU"/>
        </w:rPr>
        <w:t>росјечн</w:t>
      </w:r>
      <w:r w:rsidRPr="004A79F4">
        <w:rPr>
          <w:rFonts w:ascii="Tahoma" w:hAnsi="Tahoma" w:cs="Tahoma"/>
          <w:sz w:val="16"/>
        </w:rPr>
        <w:t>e</w:t>
      </w:r>
      <w:r w:rsidRPr="004A79F4">
        <w:rPr>
          <w:rFonts w:ascii="Tahoma" w:hAnsi="Tahoma" w:cs="Tahoma"/>
          <w:sz w:val="16"/>
          <w:lang w:val="ru-RU"/>
        </w:rPr>
        <w:t xml:space="preserve"> нето плат</w:t>
      </w:r>
      <w:r w:rsidRPr="004A79F4">
        <w:rPr>
          <w:rFonts w:ascii="Tahoma" w:hAnsi="Tahoma" w:cs="Tahoma"/>
          <w:sz w:val="16"/>
        </w:rPr>
        <w:t>e</w:t>
      </w:r>
      <w:r w:rsidRPr="004A79F4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29071F" w:rsidRPr="001D051B" w:rsidRDefault="00BF2682" w:rsidP="003B695B">
      <w:pPr>
        <w:jc w:val="both"/>
        <w:outlineLvl w:val="0"/>
        <w:rPr>
          <w:rFonts w:ascii="Tahoma" w:hAnsi="Tahoma" w:cs="Tahoma"/>
          <w:sz w:val="16"/>
          <w:szCs w:val="16"/>
          <w:lang w:val="sr-Cyrl-CS"/>
        </w:rPr>
      </w:pPr>
      <w:r w:rsidRPr="001D051B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</w:t>
      </w:r>
    </w:p>
    <w:p w:rsidR="00DC3BA1" w:rsidRPr="001D051B" w:rsidRDefault="005E0301" w:rsidP="00094E6E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  <w:r w:rsidRPr="001D051B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0F7E7B" w:rsidRPr="001D051B" w:rsidRDefault="000F7E7B" w:rsidP="000F7E7B">
      <w:pPr>
        <w:rPr>
          <w:rFonts w:ascii="Tahoma" w:hAnsi="Tahoma" w:cs="Tahoma"/>
          <w:b/>
          <w:sz w:val="28"/>
          <w:szCs w:val="28"/>
          <w:lang w:val="sr-Cyrl-CS"/>
        </w:rPr>
      </w:pPr>
      <w:r w:rsidRPr="001D051B">
        <w:rPr>
          <w:rFonts w:ascii="Tahoma" w:hAnsi="Tahoma" w:cs="Tahoma"/>
          <w:b/>
          <w:sz w:val="28"/>
          <w:szCs w:val="28"/>
          <w:lang w:val="sr-Cyrl-BA"/>
        </w:rPr>
        <w:t>Мјесечна инфлација у септембру 2012. године 0,8%</w:t>
      </w:r>
    </w:p>
    <w:p w:rsidR="000F7E7B" w:rsidRPr="001D051B" w:rsidRDefault="000F7E7B" w:rsidP="000F7E7B">
      <w:pPr>
        <w:rPr>
          <w:rFonts w:ascii="Tahoma" w:hAnsi="Tahoma" w:cs="Tahoma"/>
          <w:b/>
          <w:sz w:val="28"/>
          <w:szCs w:val="28"/>
          <w:lang w:val="sr-Cyrl-BA"/>
        </w:rPr>
      </w:pPr>
      <w:r w:rsidRPr="001D051B">
        <w:rPr>
          <w:rFonts w:ascii="Tahoma" w:hAnsi="Tahoma" w:cs="Tahoma"/>
          <w:b/>
          <w:sz w:val="28"/>
          <w:szCs w:val="28"/>
          <w:lang w:val="sr-Cyrl-BA"/>
        </w:rPr>
        <w:t>Годи</w:t>
      </w:r>
      <w:r w:rsidR="00CD0D5B">
        <w:rPr>
          <w:rFonts w:ascii="Tahoma" w:hAnsi="Tahoma" w:cs="Tahoma"/>
          <w:b/>
          <w:sz w:val="28"/>
          <w:szCs w:val="28"/>
          <w:lang w:val="sr-Cyrl-BA"/>
        </w:rPr>
        <w:t>шња инфлација (септембар 2012/</w:t>
      </w:r>
      <w:r w:rsidRPr="001D051B">
        <w:rPr>
          <w:rFonts w:ascii="Tahoma" w:hAnsi="Tahoma" w:cs="Tahoma"/>
          <w:b/>
          <w:sz w:val="28"/>
          <w:szCs w:val="28"/>
          <w:lang w:val="sr-Cyrl-BA"/>
        </w:rPr>
        <w:t>септембар 2011</w:t>
      </w:r>
      <w:r w:rsidR="00CD0D5B">
        <w:rPr>
          <w:rFonts w:ascii="Tahoma" w:hAnsi="Tahoma" w:cs="Tahoma"/>
          <w:b/>
          <w:sz w:val="28"/>
          <w:szCs w:val="28"/>
          <w:lang w:val="sr-Cyrl-BA"/>
        </w:rPr>
        <w:t>.</w:t>
      </w:r>
      <w:r w:rsidRPr="001D051B">
        <w:rPr>
          <w:rFonts w:ascii="Tahoma" w:hAnsi="Tahoma" w:cs="Tahoma"/>
          <w:b/>
          <w:sz w:val="28"/>
          <w:szCs w:val="28"/>
          <w:lang w:val="sr-Cyrl-BA"/>
        </w:rPr>
        <w:t>) 2,5%</w:t>
      </w:r>
    </w:p>
    <w:p w:rsidR="000F7E7B" w:rsidRPr="001D051B" w:rsidRDefault="000F7E7B" w:rsidP="000F7E7B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септембру 2012. године у односу на август 2012. године, више су у просјеку за 0,8%. Забиљежен је раст код 6 од укупно 12 одјељака. Највећи утицај на укупан раст цијена у септембру имало је повећање цијена у одјељцима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Превоз и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 xml:space="preserve">Највећи раст цијена у </w:t>
      </w:r>
      <w:r w:rsidR="007F6355">
        <w:rPr>
          <w:rFonts w:ascii="Tahoma" w:hAnsi="Tahoma" w:cs="Tahoma"/>
          <w:sz w:val="18"/>
          <w:szCs w:val="18"/>
          <w:lang w:val="sr-Cyrl-BA"/>
        </w:rPr>
        <w:t>септембру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забиљежен је у одјељку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Превоз 2,0%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због поновног поскупљења свих врста горива за 3,6%</w:t>
      </w:r>
      <w:r w:rsidRPr="001D051B">
        <w:rPr>
          <w:rFonts w:ascii="Tahoma" w:hAnsi="Tahoma" w:cs="Tahoma"/>
          <w:sz w:val="18"/>
          <w:szCs w:val="18"/>
        </w:rPr>
        <w:t>.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</w:p>
    <w:p w:rsidR="000F7E7B" w:rsidRPr="001D051B" w:rsidRDefault="000F7E7B" w:rsidP="004427B0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на раст цијена од 1,5%, гдје група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Pr="001D051B">
        <w:rPr>
          <w:rFonts w:ascii="Tahoma" w:hAnsi="Tahoma" w:cs="Tahoma"/>
          <w:sz w:val="18"/>
          <w:szCs w:val="18"/>
          <w:lang w:val="sr-Cyrl-BA"/>
        </w:rPr>
        <w:t>биљежи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раст 1,6% највећи утицај је имало повећање цијена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Воћа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6,8% и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Поврћа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6,0% усљед сезонског утицаја цијена воћа и поврћа, затим повећање цијена шећера 4,6%, јестивог уља 1,3%, маслаца 1,0%, брашна 0,9%, хљеба 0,4%, меса 0,3% (пилетина 2,2%, свињетина 1,2%, телетина 0.2%). На групу Храна утицало је и повећање цијена свјеже и смрзнуте рибе за 1,9% и конзервисане и прерађене рибе за 0,5%, као и поскупљење кухињске соли 2,6%, концентроване супе 2,6% и сосова и  зачина 0,6%. 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1D051B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>цијене су у просјеку више за 0,8% због више цијене какаа 2,7%, кафе за 0,7% и газираних безалкохолних пића 2,1%.</w:t>
      </w:r>
    </w:p>
    <w:p w:rsidR="000F7E7B" w:rsidRPr="001D051B" w:rsidRDefault="000F7E7B" w:rsidP="004427B0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У одјељку </w:t>
      </w:r>
      <w:r w:rsidRPr="001D051B">
        <w:rPr>
          <w:rFonts w:ascii="Tahoma" w:eastAsia="Calibri" w:hAnsi="Tahoma" w:cs="Tahoma"/>
          <w:i/>
          <w:sz w:val="18"/>
          <w:szCs w:val="18"/>
          <w:lang w:val="sr-Cyrl-BA"/>
        </w:rPr>
        <w:t>Образовање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 раст цијена од 0,9% је настао усљед поскупљења мјесечне уплате за вртић у Приједору. 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У одјељку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</w:t>
      </w:r>
      <w:r w:rsidRPr="001D051B">
        <w:rPr>
          <w:rFonts w:ascii="Tahoma" w:hAnsi="Tahoma" w:cs="Tahoma"/>
          <w:sz w:val="18"/>
          <w:szCs w:val="18"/>
          <w:lang w:val="sr-Cyrl-BA"/>
        </w:rPr>
        <w:t>забиљежен је раст цијена 0,2% усљед повећања цијена пива 1,0%.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биљежи раст цијена 0,1% због повећања цијена производа за чишћење и одржавање куће за 0,5%.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И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 одјељак </w:t>
      </w:r>
      <w:r w:rsidRPr="001D051B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0,1% због виших цијена фармацеутских производа за 0,2%.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Становање и Комуникације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цијене су у просјеку остале исте.</w:t>
      </w:r>
    </w:p>
    <w:p w:rsidR="000F7E7B" w:rsidRPr="001D051B" w:rsidRDefault="000F7E7B" w:rsidP="004427B0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Индекс одјељка </w:t>
      </w:r>
      <w:r w:rsidRPr="001D051B">
        <w:rPr>
          <w:rFonts w:ascii="Tahoma" w:eastAsia="Calibri" w:hAnsi="Tahoma" w:cs="Tahoma"/>
          <w:i/>
          <w:sz w:val="18"/>
          <w:szCs w:val="18"/>
          <w:lang w:val="sr-Cyrl-BA"/>
        </w:rPr>
        <w:t>Рекреација и култура</w:t>
      </w:r>
      <w:r w:rsidRPr="001D051B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0,3% због нижих цијена путних аранжмана за 8,5% с обзиром да је наступио крај љетне сезоне.</w:t>
      </w:r>
    </w:p>
    <w:p w:rsidR="000F7E7B" w:rsidRPr="001D051B" w:rsidRDefault="000F7E7B" w:rsidP="004427B0">
      <w:pPr>
        <w:spacing w:after="12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1D051B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септембру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1D051B">
        <w:rPr>
          <w:rFonts w:ascii="Tahoma" w:hAnsi="Tahoma" w:cs="Tahoma"/>
          <w:sz w:val="18"/>
          <w:szCs w:val="18"/>
          <w:lang w:val="sr-Cyrl-BA"/>
        </w:rPr>
        <w:t>године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1D051B">
        <w:rPr>
          <w:rFonts w:ascii="Tahoma" w:hAnsi="Tahoma" w:cs="Tahoma"/>
          <w:sz w:val="18"/>
          <w:szCs w:val="18"/>
          <w:lang w:val="sr-Cyrl-BA"/>
        </w:rPr>
        <w:t>године,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за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2,5%.</w:t>
      </w:r>
    </w:p>
    <w:p w:rsidR="0098796E" w:rsidRDefault="0098796E" w:rsidP="004629F9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</w:p>
    <w:p w:rsidR="0098796E" w:rsidRDefault="0098796E" w:rsidP="004629F9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</w:p>
    <w:p w:rsidR="001D051B" w:rsidRDefault="000F7E7B" w:rsidP="004629F9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lastRenderedPageBreak/>
        <w:t>Посматрано по одјељцима намјене потрошње, у септембру 2012. године у односу на септембарт 2011. године, највиши раст забиљежен је  код одјељка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 9,6%,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 7,2%,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 Комуникације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 4,3%,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 2,2%,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за 0,9%,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Pr="001D051B">
        <w:rPr>
          <w:rFonts w:ascii="Tahoma" w:hAnsi="Tahoma" w:cs="Tahoma"/>
          <w:sz w:val="18"/>
          <w:szCs w:val="18"/>
          <w:lang w:val="sr-Cyrl-BA"/>
        </w:rPr>
        <w:t>и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услуге за 0,6%,  Становање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за 0,3%,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0,2%</w:t>
      </w:r>
      <w:r w:rsidRPr="001D051B">
        <w:rPr>
          <w:rFonts w:ascii="Tahoma" w:hAnsi="Tahoma" w:cs="Tahoma"/>
          <w:sz w:val="18"/>
          <w:szCs w:val="18"/>
          <w:lang w:val="sr-Cyrl-BA"/>
        </w:rPr>
        <w:t>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Здравство за 0,2%, Рекрација и култура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за 0,1%. Индекс одјељка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у просјеку је остао непромјењен,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1D051B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нижи за 3,6%.</w:t>
      </w:r>
    </w:p>
    <w:p w:rsidR="0098796E" w:rsidRDefault="0098796E" w:rsidP="004629F9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</w:p>
    <w:p w:rsidR="000F7E7B" w:rsidRPr="001D051B" w:rsidRDefault="000F7E7B" w:rsidP="000F7E7B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1D051B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1D051B">
        <w:rPr>
          <w:rFonts w:ascii="Tahoma" w:hAnsi="Tahoma" w:cs="Tahoma"/>
          <w:b/>
          <w:sz w:val="28"/>
          <w:szCs w:val="28"/>
        </w:rPr>
        <w:t>IX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1D051B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1D051B">
        <w:rPr>
          <w:rFonts w:ascii="Tahoma" w:hAnsi="Tahoma" w:cs="Tahoma"/>
          <w:b/>
          <w:sz w:val="28"/>
          <w:szCs w:val="28"/>
          <w:lang w:val="sr-Latn-CS"/>
        </w:rPr>
        <w:t>VIII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1D051B">
        <w:rPr>
          <w:rFonts w:ascii="Tahoma" w:hAnsi="Tahoma" w:cs="Tahoma"/>
          <w:b/>
          <w:sz w:val="28"/>
          <w:szCs w:val="28"/>
          <w:lang w:val="sr-Latn-CS"/>
        </w:rPr>
        <w:t>2</w:t>
      </w:r>
      <w:r w:rsidR="00CD0D5B">
        <w:rPr>
          <w:rFonts w:ascii="Tahoma" w:hAnsi="Tahoma" w:cs="Tahoma"/>
          <w:b/>
          <w:sz w:val="28"/>
          <w:szCs w:val="28"/>
          <w:lang w:val="sr-Cyrl-RS"/>
        </w:rPr>
        <w:t>.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1D051B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CD0D5B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1D051B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0F7E7B" w:rsidRPr="001D051B" w:rsidRDefault="000F7E7B" w:rsidP="000F7E7B">
      <w:pPr>
        <w:jc w:val="both"/>
        <w:rPr>
          <w:rFonts w:ascii="Tahoma" w:hAnsi="Tahoma" w:cs="Tahoma"/>
          <w:lang w:val="sr-Cyrl-CS"/>
        </w:rPr>
      </w:pPr>
    </w:p>
    <w:p w:rsidR="000F7E7B" w:rsidRPr="001D051B" w:rsidRDefault="000F7E7B" w:rsidP="004427B0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sr-Cyrl-CS"/>
        </w:rPr>
        <w:t>Цијен</w:t>
      </w:r>
      <w:r w:rsidRPr="001D051B">
        <w:rPr>
          <w:rFonts w:ascii="Tahoma" w:hAnsi="Tahoma" w:cs="Tahoma"/>
          <w:sz w:val="18"/>
          <w:szCs w:val="18"/>
        </w:rPr>
        <w:t>e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1D051B">
        <w:rPr>
          <w:rFonts w:ascii="Tahoma" w:hAnsi="Tahoma" w:cs="Tahoma"/>
          <w:sz w:val="18"/>
          <w:szCs w:val="18"/>
        </w:rPr>
        <w:t xml:space="preserve">a </w:t>
      </w:r>
      <w:r w:rsidRPr="001D051B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септембру </w:t>
      </w:r>
      <w:r w:rsidRPr="001D051B">
        <w:rPr>
          <w:rFonts w:ascii="Tahoma" w:hAnsi="Tahoma" w:cs="Tahoma"/>
          <w:sz w:val="18"/>
          <w:szCs w:val="18"/>
          <w:lang w:val="hr-HR"/>
        </w:rPr>
        <w:t>20</w:t>
      </w:r>
      <w:r w:rsidRPr="001D051B">
        <w:rPr>
          <w:rFonts w:ascii="Tahoma" w:hAnsi="Tahoma" w:cs="Tahoma"/>
          <w:sz w:val="18"/>
          <w:szCs w:val="18"/>
          <w:lang w:val="sr-Cyrl-CS"/>
        </w:rPr>
        <w:t>12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D051B">
        <w:rPr>
          <w:rFonts w:ascii="Tahoma" w:hAnsi="Tahoma" w:cs="Tahoma"/>
          <w:sz w:val="18"/>
          <w:szCs w:val="18"/>
          <w:lang w:val="hr-HR"/>
        </w:rPr>
        <w:t>у односу 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август</w:t>
      </w:r>
      <w:r w:rsidRPr="001D051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hr-HR"/>
        </w:rPr>
        <w:t>201</w:t>
      </w:r>
      <w:r w:rsidRPr="001D051B">
        <w:rPr>
          <w:rFonts w:ascii="Tahoma" w:hAnsi="Tahoma" w:cs="Tahoma"/>
          <w:sz w:val="18"/>
          <w:szCs w:val="18"/>
          <w:lang w:val="sr-Cyrl-CS"/>
        </w:rPr>
        <w:t>2</w:t>
      </w:r>
      <w:r w:rsidRPr="001D051B">
        <w:rPr>
          <w:rFonts w:ascii="Tahoma" w:hAnsi="Tahoma" w:cs="Tahoma"/>
          <w:sz w:val="18"/>
          <w:szCs w:val="18"/>
          <w:lang w:val="hr-HR"/>
        </w:rPr>
        <w:t>.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0,3%</w:t>
      </w:r>
      <w:r w:rsidRPr="001D051B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1D051B">
        <w:rPr>
          <w:rFonts w:ascii="Tahoma" w:hAnsi="Tahoma" w:cs="Tahoma"/>
          <w:sz w:val="18"/>
          <w:szCs w:val="18"/>
          <w:lang w:val="sr-Cyrl-CS"/>
        </w:rPr>
        <w:t>у односу на септембар 2011. године више су за 1,0% и у односу на децембар 2011. године више су за 1,3%.</w:t>
      </w:r>
    </w:p>
    <w:p w:rsidR="000F7E7B" w:rsidRPr="001D051B" w:rsidRDefault="000F7E7B" w:rsidP="004427B0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hr-HR"/>
        </w:rPr>
        <w:t>Посматрано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1D051B">
        <w:rPr>
          <w:rFonts w:ascii="Tahoma" w:hAnsi="Tahoma" w:cs="Tahoma"/>
          <w:sz w:val="18"/>
          <w:szCs w:val="18"/>
          <w:lang w:val="hr-HR"/>
        </w:rPr>
        <w:t>о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1D051B">
        <w:rPr>
          <w:rFonts w:ascii="Tahoma" w:hAnsi="Tahoma" w:cs="Tahoma"/>
          <w:sz w:val="18"/>
          <w:szCs w:val="18"/>
          <w:lang w:val="hr-HR"/>
        </w:rPr>
        <w:t>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1D051B">
        <w:rPr>
          <w:rFonts w:ascii="Tahoma" w:hAnsi="Tahoma" w:cs="Tahoma"/>
          <w:sz w:val="18"/>
          <w:szCs w:val="18"/>
          <w:lang w:val="hr-HR"/>
        </w:rPr>
        <w:t>20</w:t>
      </w:r>
      <w:r w:rsidRPr="001D051B">
        <w:rPr>
          <w:rFonts w:ascii="Tahoma" w:hAnsi="Tahoma" w:cs="Tahoma"/>
          <w:sz w:val="18"/>
          <w:szCs w:val="18"/>
          <w:lang w:val="sr-Cyrl-CS"/>
        </w:rPr>
        <w:t>12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D051B">
        <w:rPr>
          <w:rFonts w:ascii="Tahoma" w:hAnsi="Tahoma" w:cs="Tahoma"/>
          <w:sz w:val="18"/>
          <w:szCs w:val="18"/>
          <w:lang w:val="hr-HR"/>
        </w:rPr>
        <w:t>у односу 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август</w:t>
      </w:r>
      <w:r w:rsidRPr="001D051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hr-HR"/>
        </w:rPr>
        <w:t>201</w:t>
      </w:r>
      <w:r w:rsidRPr="001D051B">
        <w:rPr>
          <w:rFonts w:ascii="Tahoma" w:hAnsi="Tahoma" w:cs="Tahoma"/>
          <w:sz w:val="18"/>
          <w:szCs w:val="18"/>
          <w:lang w:val="sr-Cyrl-CS"/>
        </w:rPr>
        <w:t>2. године цијене нетрајних производа за широку потрошњу у просјеку</w:t>
      </w:r>
      <w:r w:rsidRPr="001D051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су више</w:t>
      </w:r>
      <w:r w:rsidRPr="001D051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за</w:t>
      </w:r>
      <w:r w:rsidRPr="001D051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0,6</w:t>
      </w:r>
      <w:r w:rsidRPr="001D051B">
        <w:rPr>
          <w:rFonts w:ascii="Tahoma" w:hAnsi="Tahoma" w:cs="Tahoma"/>
          <w:sz w:val="18"/>
          <w:szCs w:val="18"/>
          <w:lang w:val="sr-Latn-CS"/>
        </w:rPr>
        <w:t>%</w:t>
      </w:r>
      <w:r w:rsidRPr="001D051B">
        <w:rPr>
          <w:rFonts w:ascii="Tahoma" w:hAnsi="Tahoma" w:cs="Tahoma"/>
          <w:sz w:val="18"/>
          <w:szCs w:val="18"/>
          <w:lang w:val="sr-Cyrl-CS"/>
        </w:rPr>
        <w:t>,  цијене енергије за 0,3% док су цијене интермедијарних производа, цијене капиталних прозвода као и цијене трајних производа за широку потрошњу у просјеку су остале на истом нивоу.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sr-Cyrl-CS"/>
        </w:rPr>
        <w:t>Цијене нетрајних производа за широку потрошњу, п</w:t>
      </w:r>
      <w:r w:rsidRPr="001D051B">
        <w:rPr>
          <w:rFonts w:ascii="Tahoma" w:hAnsi="Tahoma" w:cs="Tahoma"/>
          <w:sz w:val="18"/>
          <w:szCs w:val="18"/>
          <w:lang w:val="hr-HR"/>
        </w:rPr>
        <w:t>осматрано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1D051B">
        <w:rPr>
          <w:rFonts w:ascii="Tahoma" w:hAnsi="Tahoma" w:cs="Tahoma"/>
          <w:sz w:val="18"/>
          <w:szCs w:val="18"/>
          <w:lang w:val="hr-HR"/>
        </w:rPr>
        <w:t>о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1D051B">
        <w:rPr>
          <w:rFonts w:ascii="Tahoma" w:hAnsi="Tahoma" w:cs="Tahoma"/>
          <w:sz w:val="18"/>
          <w:szCs w:val="18"/>
          <w:lang w:val="hr-HR"/>
        </w:rPr>
        <w:t>20</w:t>
      </w:r>
      <w:r w:rsidRPr="001D051B">
        <w:rPr>
          <w:rFonts w:ascii="Tahoma" w:hAnsi="Tahoma" w:cs="Tahoma"/>
          <w:sz w:val="18"/>
          <w:szCs w:val="18"/>
          <w:lang w:val="sr-Cyrl-CS"/>
        </w:rPr>
        <w:t>12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D051B">
        <w:rPr>
          <w:rFonts w:ascii="Tahoma" w:hAnsi="Tahoma" w:cs="Tahoma"/>
          <w:sz w:val="18"/>
          <w:szCs w:val="18"/>
          <w:lang w:val="hr-HR"/>
        </w:rPr>
        <w:t>у односу 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септембар 2011. године, у просјеку</w:t>
      </w:r>
      <w:r w:rsidRPr="001D051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су више</w:t>
      </w:r>
      <w:r w:rsidRPr="001D051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за 1,2%, цијене енергије за 1,0%, цијене интермедијарних производа за 0,5%, цијене трајних производа за широку потрошњу за 0,3%, док су цијене капиталних прозвода у просјеку ниже за 0,4%.</w:t>
      </w:r>
    </w:p>
    <w:p w:rsidR="000F7E7B" w:rsidRPr="001D051B" w:rsidRDefault="000F7E7B" w:rsidP="004427B0">
      <w:pPr>
        <w:spacing w:after="120"/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1D051B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1D051B">
        <w:rPr>
          <w:rFonts w:ascii="Tahoma" w:hAnsi="Tahoma" w:cs="Tahoma"/>
          <w:sz w:val="18"/>
          <w:szCs w:val="18"/>
          <w:lang w:val="sr-Cyrl-CS"/>
        </w:rPr>
        <w:t>PRODCOM</w:t>
      </w:r>
      <w:r w:rsidRPr="001D051B">
        <w:rPr>
          <w:rFonts w:ascii="Tahoma" w:hAnsi="Tahoma" w:cs="Tahoma"/>
          <w:sz w:val="18"/>
          <w:szCs w:val="18"/>
          <w:lang w:val="hr-HR"/>
        </w:rPr>
        <w:t>)</w:t>
      </w:r>
      <w:r w:rsidRPr="001D051B">
        <w:rPr>
          <w:rFonts w:ascii="Tahoma" w:hAnsi="Tahoma" w:cs="Tahoma"/>
          <w:sz w:val="18"/>
          <w:szCs w:val="18"/>
          <w:lang w:val="sr-Cyrl-CS"/>
        </w:rPr>
        <w:t>,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1D051B">
        <w:rPr>
          <w:rFonts w:ascii="Tahoma" w:hAnsi="Tahoma" w:cs="Tahoma"/>
          <w:sz w:val="18"/>
          <w:szCs w:val="18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1D051B">
        <w:rPr>
          <w:rFonts w:ascii="Tahoma" w:hAnsi="Tahoma" w:cs="Tahoma"/>
          <w:sz w:val="18"/>
          <w:szCs w:val="18"/>
          <w:lang w:val="hr-HR"/>
        </w:rPr>
        <w:t>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1D051B">
        <w:rPr>
          <w:rFonts w:ascii="Tahoma" w:hAnsi="Tahoma" w:cs="Tahoma"/>
          <w:sz w:val="18"/>
          <w:szCs w:val="18"/>
          <w:lang w:val="hr-HR"/>
        </w:rPr>
        <w:t>20</w:t>
      </w:r>
      <w:r w:rsidRPr="001D051B">
        <w:rPr>
          <w:rFonts w:ascii="Tahoma" w:hAnsi="Tahoma" w:cs="Tahoma"/>
          <w:sz w:val="18"/>
          <w:szCs w:val="18"/>
          <w:lang w:val="sr-Cyrl-CS"/>
        </w:rPr>
        <w:t>12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D051B">
        <w:rPr>
          <w:rFonts w:ascii="Tahoma" w:hAnsi="Tahoma" w:cs="Tahoma"/>
          <w:sz w:val="18"/>
          <w:szCs w:val="18"/>
          <w:lang w:val="sr-Cyrl-CS"/>
        </w:rPr>
        <w:t>године у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август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1D051B">
        <w:rPr>
          <w:rFonts w:ascii="Tahoma" w:hAnsi="Tahoma" w:cs="Tahoma"/>
          <w:sz w:val="18"/>
          <w:szCs w:val="18"/>
          <w:lang w:val="sr-Cyrl-CS"/>
        </w:rPr>
        <w:t>2</w:t>
      </w:r>
      <w:r w:rsidRPr="001D051B">
        <w:rPr>
          <w:rFonts w:ascii="Tahoma" w:hAnsi="Tahoma" w:cs="Tahoma"/>
          <w:sz w:val="18"/>
          <w:szCs w:val="18"/>
          <w:lang w:val="hr-HR"/>
        </w:rPr>
        <w:t>.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1,0%, цијене подручја (Д) прерађивачка индустрија за 0,</w:t>
      </w:r>
      <w:r w:rsidRPr="001D051B">
        <w:rPr>
          <w:rFonts w:ascii="Tahoma" w:hAnsi="Tahoma" w:cs="Tahoma"/>
          <w:sz w:val="18"/>
          <w:szCs w:val="18"/>
          <w:lang w:val="sr-Latn-CS"/>
        </w:rPr>
        <w:t>2</w:t>
      </w:r>
      <w:r w:rsidRPr="001D051B">
        <w:rPr>
          <w:rFonts w:ascii="Tahoma" w:hAnsi="Tahoma" w:cs="Tahoma"/>
          <w:sz w:val="18"/>
          <w:szCs w:val="18"/>
          <w:lang w:val="sr-Cyrl-CS"/>
        </w:rPr>
        <w:t>%, док су цијене подручја (Е)  производња и снабдијевање електричном енергијом, гасом и водом у просјеку остале на истом нивоу.</w:t>
      </w:r>
    </w:p>
    <w:p w:rsidR="000F7E7B" w:rsidRPr="001D051B" w:rsidRDefault="000F7E7B" w:rsidP="004427B0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sz w:val="18"/>
          <w:szCs w:val="18"/>
          <w:lang w:val="bs-Cyrl-BA"/>
        </w:rPr>
        <w:t>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1D051B">
        <w:rPr>
          <w:rFonts w:ascii="Tahoma" w:hAnsi="Tahoma" w:cs="Tahoma"/>
          <w:sz w:val="18"/>
          <w:szCs w:val="18"/>
          <w:lang w:val="hr-HR"/>
        </w:rPr>
        <w:t>20</w:t>
      </w:r>
      <w:r w:rsidRPr="001D051B">
        <w:rPr>
          <w:rFonts w:ascii="Tahoma" w:hAnsi="Tahoma" w:cs="Tahoma"/>
          <w:sz w:val="18"/>
          <w:szCs w:val="18"/>
          <w:lang w:val="sr-Cyrl-CS"/>
        </w:rPr>
        <w:t>12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1D051B">
        <w:rPr>
          <w:rFonts w:ascii="Tahoma" w:hAnsi="Tahoma" w:cs="Tahoma"/>
          <w:sz w:val="18"/>
          <w:szCs w:val="18"/>
          <w:lang w:val="hr-HR"/>
        </w:rPr>
        <w:t>у односу 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1D051B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1D051B">
        <w:rPr>
          <w:rFonts w:ascii="Tahoma" w:hAnsi="Tahoma" w:cs="Tahoma"/>
          <w:sz w:val="18"/>
          <w:szCs w:val="18"/>
          <w:lang w:val="sr-Cyrl-CS"/>
        </w:rPr>
        <w:t>11</w:t>
      </w:r>
      <w:r w:rsidRPr="001D051B">
        <w:rPr>
          <w:rFonts w:ascii="Tahoma" w:hAnsi="Tahoma" w:cs="Tahoma"/>
          <w:sz w:val="18"/>
          <w:szCs w:val="18"/>
          <w:lang w:val="hr-HR"/>
        </w:rPr>
        <w:t>.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1D051B">
        <w:rPr>
          <w:rFonts w:ascii="Tahoma" w:hAnsi="Tahoma" w:cs="Tahoma"/>
          <w:sz w:val="18"/>
          <w:szCs w:val="18"/>
        </w:rPr>
        <w:t>j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1D051B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1,1%, </w:t>
      </w:r>
      <w:r w:rsidRPr="001D051B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 за 0,8%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и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1D051B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1D051B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1D051B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су више за 0,5%. </w:t>
      </w:r>
    </w:p>
    <w:p w:rsidR="00DE24B3" w:rsidRPr="001D051B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AC7A63" w:rsidRPr="001D051B" w:rsidRDefault="00AC7A63" w:rsidP="00AC7A63">
      <w:pPr>
        <w:tabs>
          <w:tab w:val="left" w:pos="0"/>
          <w:tab w:val="left" w:pos="1100"/>
        </w:tabs>
        <w:jc w:val="both"/>
        <w:rPr>
          <w:lang w:val="sr-Cyrl-CS"/>
        </w:rPr>
      </w:pPr>
      <w:r w:rsidRPr="001D051B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1D051B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1D051B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1D051B">
        <w:rPr>
          <w:rFonts w:ascii="Tahoma" w:hAnsi="Tahoma" w:cs="Tahoma"/>
          <w:b/>
          <w:spacing w:val="-4"/>
          <w:sz w:val="28"/>
          <w:szCs w:val="28"/>
        </w:rPr>
        <w:t>IX</w:t>
      </w:r>
      <w:r w:rsidRPr="001D051B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1D051B">
        <w:rPr>
          <w:rFonts w:ascii="Tahoma" w:hAnsi="Tahoma" w:cs="Tahoma"/>
          <w:b/>
          <w:bCs/>
          <w:sz w:val="24"/>
          <w:szCs w:val="24"/>
        </w:rPr>
        <w:sym w:font="Symbol" w:char="F0C6"/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1D051B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3,5</w:t>
      </w:r>
      <w:r w:rsidRPr="001D051B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DE56F7" w:rsidRPr="001D051B" w:rsidRDefault="00DE56F7" w:rsidP="00DE56F7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</w:rPr>
      </w:pPr>
      <w:r w:rsidRPr="001D051B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1D051B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1D051B">
        <w:rPr>
          <w:rFonts w:ascii="Tahoma" w:hAnsi="Tahoma" w:cs="Tahoma"/>
          <w:sz w:val="24"/>
          <w:szCs w:val="24"/>
        </w:rPr>
        <w:t>IX</w:t>
      </w:r>
      <w:r w:rsidRPr="001D051B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1D051B">
        <w:rPr>
          <w:rFonts w:ascii="Tahoma" w:hAnsi="Tahoma" w:cs="Tahoma"/>
          <w:sz w:val="24"/>
          <w:szCs w:val="24"/>
          <w:lang w:val="sr-Cyrl-CS"/>
        </w:rPr>
        <w:t>12</w:t>
      </w:r>
      <w:r w:rsidRPr="001D051B">
        <w:rPr>
          <w:rFonts w:ascii="Tahoma" w:hAnsi="Tahoma" w:cs="Tahoma"/>
          <w:sz w:val="24"/>
          <w:szCs w:val="24"/>
          <w:lang w:val="sr-Latn-BA"/>
        </w:rPr>
        <w:t>/</w:t>
      </w:r>
      <w:r w:rsidRPr="001D051B">
        <w:rPr>
          <w:rFonts w:ascii="Tahoma" w:hAnsi="Tahoma" w:cs="Tahoma"/>
          <w:bCs/>
          <w:sz w:val="24"/>
          <w:szCs w:val="24"/>
        </w:rPr>
        <w:sym w:font="Symbol" w:char="F0C6"/>
      </w:r>
      <w:r w:rsidRPr="001D051B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1D051B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1D051B">
        <w:rPr>
          <w:rFonts w:ascii="Tahoma" w:hAnsi="Tahoma" w:cs="Tahoma"/>
          <w:bCs/>
          <w:sz w:val="24"/>
          <w:szCs w:val="24"/>
          <w:lang w:val="hr-HR"/>
        </w:rPr>
        <w:t>)</w:t>
      </w:r>
      <w:r w:rsidRPr="001D051B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1D051B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1D051B">
        <w:rPr>
          <w:rFonts w:ascii="Tahoma" w:hAnsi="Tahoma" w:cs="Tahoma"/>
          <w:sz w:val="24"/>
          <w:szCs w:val="24"/>
        </w:rPr>
        <w:t>1</w:t>
      </w:r>
      <w:r w:rsidRPr="001D051B">
        <w:rPr>
          <w:rFonts w:ascii="Tahoma" w:hAnsi="Tahoma" w:cs="Tahoma"/>
          <w:sz w:val="24"/>
          <w:szCs w:val="24"/>
          <w:lang w:val="sr-Cyrl-BA"/>
        </w:rPr>
        <w:t>,</w:t>
      </w:r>
      <w:r w:rsidRPr="001D051B">
        <w:rPr>
          <w:rFonts w:ascii="Tahoma" w:hAnsi="Tahoma" w:cs="Tahoma"/>
          <w:sz w:val="24"/>
          <w:szCs w:val="24"/>
        </w:rPr>
        <w:t>2</w:t>
      </w:r>
      <w:r w:rsidRPr="001D051B">
        <w:rPr>
          <w:rFonts w:ascii="Tahoma" w:hAnsi="Tahoma" w:cs="Tahoma"/>
          <w:sz w:val="24"/>
          <w:szCs w:val="24"/>
          <w:lang w:val="ru-RU"/>
        </w:rPr>
        <w:t>%</w:t>
      </w:r>
    </w:p>
    <w:p w:rsidR="00220FB1" w:rsidRPr="001D051B" w:rsidRDefault="00220FB1" w:rsidP="00DE56F7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</w:rPr>
      </w:pPr>
    </w:p>
    <w:p w:rsidR="00AC7A63" w:rsidRPr="001D051B" w:rsidRDefault="00AC7A63" w:rsidP="00DE56F7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1D051B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1D051B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1D051B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претходни мјесец текуће године већа је за 8,7%, у односу на исти мјесец прошле године већа је за 5,8% и у односу на просјечну мјесечну производњу из 2011. године за 3,5%.</w:t>
      </w:r>
    </w:p>
    <w:p w:rsidR="00AC7A63" w:rsidRPr="001D051B" w:rsidRDefault="00AC7A63" w:rsidP="00DE56F7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Индустријска производња остварена у периоду јануар</w:t>
      </w:r>
      <w:r w:rsidR="007F6355">
        <w:rPr>
          <w:rFonts w:ascii="Tahoma" w:hAnsi="Tahoma" w:cs="Tahoma"/>
          <w:sz w:val="18"/>
          <w:szCs w:val="18"/>
          <w:lang w:val="sr-Cyrl-BA"/>
        </w:rPr>
        <w:t>−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септембар 2012. године у односу на исти период </w:t>
      </w:r>
      <w:r w:rsidRPr="001D051B">
        <w:rPr>
          <w:rFonts w:ascii="Tahoma" w:hAnsi="Tahoma" w:cs="Tahoma"/>
          <w:sz w:val="18"/>
          <w:szCs w:val="18"/>
          <w:lang w:val="ru-RU"/>
        </w:rPr>
        <w:t>прошле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године мања је за 4,6%. У истом периоду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1D051B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забиљежена је негативна стопа промјене 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од 3,1%,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D051B">
        <w:rPr>
          <w:rFonts w:ascii="Tahoma" w:hAnsi="Tahoma" w:cs="Tahoma"/>
          <w:sz w:val="18"/>
          <w:szCs w:val="18"/>
          <w:lang w:val="ru-RU"/>
        </w:rPr>
        <w:t>подручју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негативна стопа промјене од 4,5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негативна </w:t>
      </w:r>
      <w:r w:rsidRPr="001D051B">
        <w:rPr>
          <w:rFonts w:ascii="Tahoma" w:hAnsi="Tahoma" w:cs="Tahoma"/>
          <w:sz w:val="18"/>
          <w:szCs w:val="18"/>
          <w:lang w:val="sr-Cyrl-BA"/>
        </w:rPr>
        <w:t>стопа промјене од 5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,3%. </w:t>
      </w:r>
    </w:p>
    <w:p w:rsidR="00DE24B3" w:rsidRPr="001D051B" w:rsidRDefault="00AC7A63" w:rsidP="00DE56F7">
      <w:pPr>
        <w:tabs>
          <w:tab w:val="left" w:pos="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ru-RU"/>
        </w:rPr>
        <w:t>Посматрано по економској намјени индустриј</w:t>
      </w:r>
      <w:r w:rsidR="007F6355">
        <w:rPr>
          <w:rFonts w:ascii="Tahoma" w:hAnsi="Tahoma" w:cs="Tahoma"/>
          <w:sz w:val="18"/>
          <w:szCs w:val="18"/>
          <w:lang w:val="ru-RU"/>
        </w:rPr>
        <w:t>ских производа у периоду јануар–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септембар 2012. године у односу на исти период прошле године забиљежена је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1D051B">
        <w:rPr>
          <w:rFonts w:ascii="Tahoma" w:hAnsi="Tahoma" w:cs="Tahoma"/>
          <w:sz w:val="18"/>
          <w:szCs w:val="18"/>
          <w:lang w:val="ru-RU"/>
        </w:rPr>
        <w:t>трајних производа од 1,1%, нетрајних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од 5,0%, </w:t>
      </w:r>
      <w:r w:rsidRPr="001D051B">
        <w:rPr>
          <w:rFonts w:ascii="Tahoma" w:hAnsi="Tahoma" w:cs="Tahoma"/>
          <w:sz w:val="18"/>
          <w:szCs w:val="18"/>
          <w:lang w:val="ru-RU"/>
        </w:rPr>
        <w:t>енергије од 5,2% и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од 7,5%, </w:t>
      </w:r>
      <w:r w:rsidRPr="001D051B">
        <w:rPr>
          <w:rFonts w:ascii="Tahoma" w:hAnsi="Tahoma" w:cs="Tahoma"/>
          <w:sz w:val="18"/>
          <w:szCs w:val="18"/>
          <w:lang w:val="sr-Cyrl-BA"/>
        </w:rPr>
        <w:t>док је код капиталних производа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1D051B">
        <w:rPr>
          <w:rFonts w:ascii="Tahoma" w:hAnsi="Tahoma" w:cs="Tahoma"/>
          <w:sz w:val="18"/>
          <w:szCs w:val="18"/>
          <w:lang w:val="ru-RU"/>
        </w:rPr>
        <w:t>од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18,1</w:t>
      </w:r>
      <w:r w:rsidRPr="001D051B">
        <w:rPr>
          <w:rFonts w:ascii="Tahoma" w:hAnsi="Tahoma" w:cs="Tahoma"/>
          <w:sz w:val="18"/>
          <w:szCs w:val="18"/>
          <w:lang w:val="sr-Cyrl-BA"/>
        </w:rPr>
        <w:t>%.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DE56F7" w:rsidRPr="001D051B" w:rsidRDefault="00DE56F7" w:rsidP="00DE56F7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D051B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1D051B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D051B">
        <w:rPr>
          <w:rFonts w:ascii="Tahoma" w:hAnsi="Tahoma" w:cs="Tahoma"/>
          <w:sz w:val="18"/>
          <w:szCs w:val="18"/>
          <w:lang w:val="ru-RU"/>
        </w:rPr>
        <w:t>односу на август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године мањи је за 0,2%.</w:t>
      </w:r>
    </w:p>
    <w:p w:rsidR="00DE56F7" w:rsidRPr="001D051B" w:rsidRDefault="00DE56F7" w:rsidP="00DE56F7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E56F7" w:rsidRPr="001D051B" w:rsidRDefault="00DE56F7" w:rsidP="00DE56F7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D051B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="007F6355">
        <w:rPr>
          <w:rFonts w:ascii="Tahoma" w:hAnsi="Tahoma" w:cs="Tahoma"/>
          <w:sz w:val="18"/>
          <w:szCs w:val="18"/>
          <w:lang w:val="ru-RU"/>
        </w:rPr>
        <w:t>периоду јануар−</w:t>
      </w:r>
      <w:r w:rsidRPr="001D051B">
        <w:rPr>
          <w:rFonts w:ascii="Tahoma" w:hAnsi="Tahoma" w:cs="Tahoma"/>
          <w:sz w:val="18"/>
          <w:szCs w:val="18"/>
          <w:lang w:val="ru-RU"/>
        </w:rPr>
        <w:t>септембар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1,7%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, при чему је у подручју </w:t>
      </w:r>
      <w:r w:rsidRPr="001D051B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забиљежен пад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од 1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,5% и у подручју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пад од 2,0%, док је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1D051B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>забиљежен раст броја запослених од 1,0</w:t>
      </w:r>
      <w:r w:rsidRPr="001D051B">
        <w:rPr>
          <w:rFonts w:ascii="Tahoma" w:hAnsi="Tahoma" w:cs="Tahoma"/>
          <w:sz w:val="18"/>
          <w:szCs w:val="18"/>
          <w:lang w:val="ru-RU"/>
        </w:rPr>
        <w:t>%.</w:t>
      </w:r>
    </w:p>
    <w:p w:rsidR="00DE56F7" w:rsidRPr="001D051B" w:rsidRDefault="00DE56F7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DE24B3" w:rsidRPr="001D051B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56F7" w:rsidRPr="001D051B" w:rsidRDefault="00DE56F7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1D051B" w:rsidRPr="001D051B" w:rsidRDefault="001D051B">
      <w:pPr>
        <w:rPr>
          <w:rFonts w:ascii="Tahoma" w:hAnsi="Tahoma" w:cs="Tahoma"/>
          <w:b/>
          <w:sz w:val="28"/>
          <w:szCs w:val="28"/>
          <w:lang w:val="bs-Cyrl-BA"/>
        </w:rPr>
      </w:pPr>
      <w:r w:rsidRPr="001D051B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AC7A63" w:rsidRPr="001D051B" w:rsidRDefault="00AC7A63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1D051B">
        <w:rPr>
          <w:rFonts w:ascii="Tahoma" w:hAnsi="Tahoma" w:cs="Tahoma"/>
          <w:b/>
          <w:sz w:val="28"/>
          <w:szCs w:val="28"/>
          <w:lang w:val="bs-Cyrl-BA"/>
        </w:rPr>
        <w:lastRenderedPageBreak/>
        <w:t>П</w:t>
      </w:r>
      <w:r w:rsidRPr="001D051B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1D051B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Pr="001D051B">
        <w:rPr>
          <w:rFonts w:ascii="Tahoma" w:hAnsi="Tahoma" w:cs="Tahoma"/>
          <w:b/>
          <w:sz w:val="28"/>
          <w:szCs w:val="28"/>
        </w:rPr>
        <w:t>I</w:t>
      </w:r>
      <w:r w:rsidRPr="001D051B">
        <w:rPr>
          <w:rFonts w:ascii="Tahoma" w:hAnsi="Tahoma" w:cs="Tahoma"/>
          <w:b/>
          <w:sz w:val="28"/>
          <w:szCs w:val="28"/>
          <w:lang w:val="ru-RU"/>
        </w:rPr>
        <w:t>–</w:t>
      </w:r>
      <w:r w:rsidRPr="001D051B">
        <w:rPr>
          <w:rFonts w:ascii="Tahoma" w:hAnsi="Tahoma" w:cs="Tahoma"/>
          <w:b/>
          <w:sz w:val="28"/>
          <w:szCs w:val="28"/>
        </w:rPr>
        <w:t>IX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1D051B">
        <w:rPr>
          <w:rFonts w:ascii="Tahoma" w:hAnsi="Tahoma" w:cs="Tahoma"/>
          <w:b/>
          <w:sz w:val="28"/>
          <w:szCs w:val="28"/>
          <w:lang w:val="ru-RU"/>
        </w:rPr>
        <w:t>201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1D051B">
        <w:rPr>
          <w:rFonts w:ascii="Tahoma" w:hAnsi="Tahoma" w:cs="Tahoma"/>
          <w:b/>
          <w:sz w:val="28"/>
          <w:szCs w:val="28"/>
          <w:lang w:val="ru-RU"/>
        </w:rPr>
        <w:t>.</w:t>
      </w:r>
      <w:r w:rsidRPr="001D051B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1D051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1D051B">
        <w:rPr>
          <w:rFonts w:ascii="Tahoma" w:hAnsi="Tahoma" w:cs="Tahoma"/>
          <w:b/>
          <w:sz w:val="28"/>
          <w:szCs w:val="28"/>
          <w:lang w:val="hr-HR"/>
        </w:rPr>
        <w:t>5</w:t>
      </w:r>
      <w:r w:rsidRPr="001D051B">
        <w:rPr>
          <w:rFonts w:ascii="Tahoma" w:hAnsi="Tahoma" w:cs="Tahoma"/>
          <w:b/>
          <w:sz w:val="28"/>
          <w:szCs w:val="28"/>
          <w:lang w:val="sr-Cyrl-BA"/>
        </w:rPr>
        <w:t>3</w:t>
      </w:r>
      <w:r w:rsidRPr="001D051B">
        <w:rPr>
          <w:rFonts w:ascii="Tahoma" w:hAnsi="Tahoma" w:cs="Tahoma"/>
          <w:b/>
          <w:sz w:val="28"/>
          <w:szCs w:val="28"/>
          <w:lang w:val="ru-RU"/>
        </w:rPr>
        <w:t>,</w:t>
      </w:r>
      <w:r w:rsidRPr="001D051B">
        <w:rPr>
          <w:rFonts w:ascii="Tahoma" w:hAnsi="Tahoma" w:cs="Tahoma"/>
          <w:b/>
          <w:sz w:val="28"/>
          <w:szCs w:val="28"/>
        </w:rPr>
        <w:t>5</w:t>
      </w:r>
      <w:r w:rsidRPr="001D051B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AC7A63" w:rsidRPr="001D051B" w:rsidRDefault="00AC7A63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1D051B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1D051B">
        <w:rPr>
          <w:rFonts w:ascii="Tahoma" w:hAnsi="Tahoma" w:cs="Tahoma"/>
          <w:sz w:val="24"/>
          <w:szCs w:val="24"/>
          <w:lang w:val="hr-HR"/>
        </w:rPr>
        <w:t>(I-IX 2012/I-IX 2011</w:t>
      </w:r>
      <w:r w:rsidRPr="001D051B">
        <w:rPr>
          <w:rFonts w:ascii="Tahoma" w:hAnsi="Tahoma" w:cs="Tahoma"/>
          <w:sz w:val="24"/>
          <w:szCs w:val="24"/>
          <w:lang w:val="sr-Cyrl-CS"/>
        </w:rPr>
        <w:t>.</w:t>
      </w:r>
      <w:r w:rsidRPr="001D051B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1D051B">
        <w:rPr>
          <w:rFonts w:ascii="Tahoma" w:hAnsi="Tahoma" w:cs="Tahoma"/>
          <w:sz w:val="24"/>
          <w:szCs w:val="24"/>
          <w:lang w:val="sr-Cyrl-BA"/>
        </w:rPr>
        <w:t>смањен 4</w:t>
      </w:r>
      <w:r w:rsidRPr="001D051B">
        <w:rPr>
          <w:rFonts w:ascii="Tahoma" w:hAnsi="Tahoma" w:cs="Tahoma"/>
          <w:sz w:val="24"/>
          <w:szCs w:val="24"/>
          <w:lang w:val="ru-RU"/>
        </w:rPr>
        <w:t>,</w:t>
      </w:r>
      <w:r w:rsidRPr="001D051B">
        <w:rPr>
          <w:rFonts w:ascii="Tahoma" w:hAnsi="Tahoma" w:cs="Tahoma"/>
          <w:sz w:val="24"/>
          <w:szCs w:val="24"/>
        </w:rPr>
        <w:t>7</w:t>
      </w:r>
      <w:r w:rsidRPr="001D051B">
        <w:rPr>
          <w:rFonts w:ascii="Tahoma" w:hAnsi="Tahoma" w:cs="Tahoma"/>
          <w:sz w:val="24"/>
          <w:szCs w:val="24"/>
          <w:lang w:val="ru-RU"/>
        </w:rPr>
        <w:t>%</w:t>
      </w:r>
    </w:p>
    <w:p w:rsidR="00AC7A63" w:rsidRPr="001D051B" w:rsidRDefault="00AC7A63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C7A63" w:rsidRPr="001D051B" w:rsidRDefault="00AC7A63" w:rsidP="00DE56F7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У септембру 2012. године, остварен је извоз у вриједности 237 милиона КМ и увоз у вриједности од 419 милиона КМ.</w:t>
      </w:r>
    </w:p>
    <w:p w:rsidR="00AC7A63" w:rsidRPr="001D051B" w:rsidRDefault="00AC7A63" w:rsidP="00DE56F7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1D051B">
        <w:rPr>
          <w:rFonts w:ascii="Tahoma" w:hAnsi="Tahoma" w:cs="Tahoma"/>
          <w:sz w:val="18"/>
          <w:szCs w:val="18"/>
          <w:lang w:val="bs-Cyrl-BA"/>
        </w:rPr>
        <w:t>е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1D051B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1D051B">
        <w:rPr>
          <w:rFonts w:ascii="Tahoma" w:hAnsi="Tahoma" w:cs="Tahoma"/>
          <w:sz w:val="18"/>
          <w:szCs w:val="18"/>
          <w:lang w:val="sr-Cyrl-BA"/>
        </w:rPr>
        <w:t>Српске са иностранством у септембру ове године, проценат покривености увоза извозом износио је 56,7%.</w:t>
      </w:r>
    </w:p>
    <w:p w:rsidR="00AC7A63" w:rsidRPr="001D051B" w:rsidRDefault="00AC7A63" w:rsidP="00DE56F7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ru-RU"/>
        </w:rPr>
        <w:t>У периоду јануар</w:t>
      </w:r>
      <w:r w:rsidR="007F6355">
        <w:rPr>
          <w:rFonts w:ascii="Tahoma" w:hAnsi="Tahoma" w:cs="Tahoma"/>
          <w:sz w:val="18"/>
          <w:szCs w:val="18"/>
          <w:lang w:val="ru-RU"/>
        </w:rPr>
        <w:t>−</w:t>
      </w:r>
      <w:r w:rsidRPr="001D051B">
        <w:rPr>
          <w:rFonts w:ascii="Tahoma" w:hAnsi="Tahoma" w:cs="Tahoma"/>
          <w:sz w:val="18"/>
          <w:szCs w:val="18"/>
          <w:lang w:val="ru-RU"/>
        </w:rPr>
        <w:t>септембар  2012. године остварен је извоз у вриједности од милијарду и 821 милиона КМ, што је за 4,7% мање у односу на исти период претходне године. Увоз је, у истом периоду, износио 3 милијарде 400 милиона КМ, што је за 2,0% више у односу на исти период претходне године.</w:t>
      </w:r>
    </w:p>
    <w:p w:rsidR="00AC7A63" w:rsidRPr="001D051B" w:rsidRDefault="00AC7A63" w:rsidP="00DE56F7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првих девет мјесеци текуће године износио је 53,5%, док је спољнотрговински робни дефицит износио милијарду и 579 милиона КМ.</w:t>
      </w:r>
    </w:p>
    <w:p w:rsidR="00AC7A63" w:rsidRPr="001D051B" w:rsidRDefault="00AC7A63" w:rsidP="00DE56F7">
      <w:pPr>
        <w:pStyle w:val="Body2"/>
        <w:tabs>
          <w:tab w:val="left" w:pos="408"/>
        </w:tabs>
        <w:spacing w:after="120"/>
        <w:ind w:firstLine="0"/>
        <w:rPr>
          <w:rFonts w:ascii="Tahoma" w:hAnsi="Tahoma" w:cs="Tahoma"/>
          <w:szCs w:val="18"/>
        </w:rPr>
      </w:pPr>
      <w:r w:rsidRPr="001D051B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1D051B">
        <w:rPr>
          <w:rFonts w:ascii="Tahoma" w:hAnsi="Tahoma" w:cs="Tahoma"/>
          <w:szCs w:val="18"/>
        </w:rPr>
        <w:t>e</w:t>
      </w:r>
      <w:r w:rsidRPr="001D051B">
        <w:rPr>
          <w:rFonts w:ascii="Tahoma" w:hAnsi="Tahoma" w:cs="Tahoma"/>
          <w:szCs w:val="18"/>
          <w:lang w:val="ru-RU"/>
        </w:rPr>
        <w:t xml:space="preserve"> Српск</w:t>
      </w:r>
      <w:r w:rsidRPr="001D051B">
        <w:rPr>
          <w:rFonts w:ascii="Tahoma" w:hAnsi="Tahoma" w:cs="Tahoma"/>
          <w:szCs w:val="18"/>
        </w:rPr>
        <w:t>e</w:t>
      </w:r>
      <w:r w:rsidRPr="001D051B">
        <w:rPr>
          <w:rFonts w:ascii="Tahoma" w:hAnsi="Tahoma" w:cs="Tahoma"/>
          <w:szCs w:val="18"/>
          <w:lang w:val="ru-RU"/>
        </w:rPr>
        <w:t xml:space="preserve"> са </w:t>
      </w:r>
      <w:r w:rsidR="007F6355">
        <w:rPr>
          <w:rFonts w:ascii="Tahoma" w:hAnsi="Tahoma" w:cs="Tahoma"/>
          <w:szCs w:val="18"/>
          <w:lang w:val="ru-RU"/>
        </w:rPr>
        <w:t>иностранством, у периоду јануар−</w:t>
      </w:r>
      <w:r w:rsidRPr="001D051B">
        <w:rPr>
          <w:rFonts w:ascii="Tahoma" w:hAnsi="Tahoma" w:cs="Tahoma"/>
          <w:szCs w:val="18"/>
          <w:lang w:val="ru-RU"/>
        </w:rPr>
        <w:t xml:space="preserve">септембар </w:t>
      </w:r>
      <w:r w:rsidRPr="001D051B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318 милиона КМ, односно 17,5%</w:t>
      </w:r>
      <w:r w:rsidRPr="001D051B">
        <w:rPr>
          <w:rFonts w:ascii="Tahoma" w:hAnsi="Tahoma" w:cs="Tahoma"/>
          <w:szCs w:val="18"/>
          <w:lang w:val="ru-RU"/>
        </w:rPr>
        <w:t xml:space="preserve">, </w:t>
      </w:r>
      <w:r w:rsidRPr="001D051B">
        <w:rPr>
          <w:rFonts w:ascii="Tahoma" w:hAnsi="Tahoma" w:cs="Tahoma"/>
          <w:szCs w:val="18"/>
          <w:lang w:val="sr-Cyrl-CS"/>
        </w:rPr>
        <w:t>те у Србију, у вриједности од 284 милиона КМ, односно 15,6% од укупног оствареног извоза.</w:t>
      </w:r>
    </w:p>
    <w:p w:rsidR="00AC7A63" w:rsidRPr="001D051B" w:rsidRDefault="00AC7A63" w:rsidP="00DE56F7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051B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1D051B">
        <w:rPr>
          <w:rFonts w:ascii="Tahoma" w:hAnsi="Tahoma" w:cs="Tahoma"/>
          <w:sz w:val="18"/>
          <w:szCs w:val="18"/>
          <w:lang w:val="sr-Cyrl-BA"/>
        </w:rPr>
        <w:t>н</w:t>
      </w:r>
      <w:r w:rsidRPr="001D051B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922 милиона КМ, односно 27,1% и из Србије, у вриједности од 576 милиона КМ, односно 16,9% од укупно оствареног увоза.</w:t>
      </w:r>
    </w:p>
    <w:p w:rsidR="00AC7A63" w:rsidRPr="001D051B" w:rsidRDefault="00AC7A63" w:rsidP="00DE56F7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1D051B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="007F6355">
        <w:rPr>
          <w:rFonts w:ascii="Tahoma" w:hAnsi="Tahoma" w:cs="Tahoma"/>
          <w:sz w:val="18"/>
          <w:szCs w:val="18"/>
          <w:lang w:val="ru-RU"/>
        </w:rPr>
        <w:t>јануар−</w:t>
      </w:r>
      <w:r w:rsidRPr="001D051B">
        <w:rPr>
          <w:rFonts w:ascii="Tahoma" w:hAnsi="Tahoma" w:cs="Tahoma"/>
          <w:sz w:val="18"/>
          <w:szCs w:val="18"/>
          <w:lang w:val="sr-Cyrl-CS"/>
        </w:rPr>
        <w:t>септембар</w:t>
      </w:r>
      <w:r w:rsidRPr="001D051B">
        <w:rPr>
          <w:rFonts w:ascii="Tahoma" w:hAnsi="Tahoma" w:cs="Tahoma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1D051B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1D051B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1D051B">
        <w:rPr>
          <w:rFonts w:ascii="Tahoma" w:hAnsi="Tahoma" w:cs="Tahoma"/>
          <w:sz w:val="18"/>
          <w:szCs w:val="18"/>
          <w:lang w:val="sr-Cyrl-CS"/>
        </w:rPr>
        <w:t>)</w:t>
      </w:r>
      <w:r w:rsidRPr="001D051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D051B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238 милиона КМ, што износи 13,1% од укупног извоза, док највеће учешће у увозу остварује </w:t>
      </w:r>
      <w:r w:rsidRPr="001D051B">
        <w:rPr>
          <w:rFonts w:ascii="Tahoma" w:hAnsi="Tahoma" w:cs="Tahoma"/>
          <w:sz w:val="18"/>
          <w:szCs w:val="18"/>
          <w:lang w:val="sr-Cyrl-BA"/>
        </w:rPr>
        <w:t>н</w:t>
      </w:r>
      <w:r w:rsidRPr="001D051B">
        <w:rPr>
          <w:rFonts w:ascii="Tahoma" w:hAnsi="Tahoma" w:cs="Tahoma"/>
          <w:sz w:val="18"/>
          <w:szCs w:val="18"/>
          <w:lang w:val="ru-RU"/>
        </w:rPr>
        <w:t>афт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1D051B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1D051B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1D051B">
        <w:rPr>
          <w:rFonts w:ascii="Tahoma" w:hAnsi="Tahoma" w:cs="Tahoma"/>
          <w:sz w:val="18"/>
          <w:szCs w:val="18"/>
          <w:lang w:val="ru-RU"/>
        </w:rPr>
        <w:t>сиров</w:t>
      </w:r>
      <w:r w:rsidRPr="001D051B">
        <w:rPr>
          <w:rFonts w:ascii="Tahoma" w:hAnsi="Tahoma" w:cs="Tahoma"/>
          <w:sz w:val="18"/>
          <w:szCs w:val="18"/>
          <w:lang w:val="sr-Cyrl-BA"/>
        </w:rPr>
        <w:t>а), са укупном вриједношћу од 957 милиона КМ, што износи 28,1% од укупног увоза.</w:t>
      </w:r>
    </w:p>
    <w:p w:rsidR="00AC7A63" w:rsidRPr="001D051B" w:rsidRDefault="00AC7A63" w:rsidP="00AC7A6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0C0" w:rsidRPr="001D051B" w:rsidRDefault="00C270C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1D051B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1D051B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1D051B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1D051B" w:rsidRPr="001D051B" w:rsidRDefault="001D05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78288A" w:rsidRPr="001D051B" w:rsidRDefault="0098796E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48.5pt;margin-top:3.35pt;width:61.05pt;height:19.75pt;z-index:251658240;mso-position-horizontal-relative:text;mso-position-vertical-relative:text;mso-width-relative:margin;mso-height-relative:margin" stroked="f">
            <v:textbox style="mso-next-textbox:#_x0000_s1062">
              <w:txbxContent>
                <w:p w:rsidR="0098796E" w:rsidRPr="0078288A" w:rsidRDefault="0098796E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AF1FE7" w:rsidRPr="001D051B" w:rsidRDefault="0098796E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83.15pt;margin-top:185.25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98796E" w:rsidRPr="00843401" w:rsidRDefault="0098796E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57pt;margin-top:185.2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98796E" w:rsidRPr="00843401" w:rsidRDefault="0098796E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  <w:r w:rsidR="00AC7A63" w:rsidRPr="001D051B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4511615" cy="2389517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0301" w:rsidRPr="001D051B" w:rsidRDefault="005E0301" w:rsidP="00094E6E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8066F8" w:rsidRPr="001D051B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206D7" w:rsidRPr="001D051B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28"/>
          <w:szCs w:val="28"/>
        </w:rPr>
      </w:pPr>
      <w:r w:rsidRPr="001D051B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765234" w:rsidRPr="001D051B">
        <w:rPr>
          <w:rFonts w:ascii="Tahoma" w:hAnsi="Tahoma" w:cs="Tahoma"/>
          <w:sz w:val="16"/>
          <w:szCs w:val="16"/>
        </w:rPr>
        <w:t>3</w:t>
      </w:r>
      <w:r w:rsidR="005E0301" w:rsidRPr="001D051B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1D051B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1D051B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1D051B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1D051B">
        <w:rPr>
          <w:rFonts w:ascii="Tahoma" w:hAnsi="Tahoma" w:cs="Tahoma"/>
          <w:iCs/>
          <w:sz w:val="16"/>
          <w:szCs w:val="16"/>
          <w:lang w:val="ru-RU"/>
        </w:rPr>
        <w:t>воз по мјесецима</w:t>
      </w:r>
    </w:p>
    <w:p w:rsidR="00F94323" w:rsidRPr="001D051B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380E95" w:rsidRPr="001D051B" w:rsidRDefault="00380E95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7E42C1" w:rsidRPr="001D051B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1D051B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1D051B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DE24B3" w:rsidRPr="001D051B" w:rsidRDefault="000C4E02">
      <w:pPr>
        <w:rPr>
          <w:rFonts w:ascii="Tahoma" w:hAnsi="Tahoma" w:cs="Tahoma"/>
          <w:bCs/>
          <w:sz w:val="18"/>
          <w:szCs w:val="18"/>
          <w:lang w:val="sr-Cyrl-BA"/>
        </w:rPr>
      </w:pPr>
      <w:r w:rsidRPr="001D051B">
        <w:rPr>
          <w:rFonts w:ascii="Tahoma" w:hAnsi="Tahoma" w:cs="Tahoma"/>
          <w:bCs/>
          <w:sz w:val="18"/>
          <w:szCs w:val="18"/>
          <w:lang w:val="sr-Cyrl-BA"/>
        </w:rPr>
        <w:br w:type="page"/>
      </w:r>
    </w:p>
    <w:p w:rsidR="00DE24B3" w:rsidRPr="001D051B" w:rsidRDefault="00DE24B3">
      <w:pPr>
        <w:rPr>
          <w:rFonts w:ascii="Tahoma" w:hAnsi="Tahoma" w:cs="Tahoma"/>
          <w:bCs/>
          <w:sz w:val="18"/>
          <w:szCs w:val="18"/>
          <w:lang w:val="sr-Cyrl-BA"/>
        </w:rPr>
      </w:pPr>
    </w:p>
    <w:p w:rsidR="00DB6D76" w:rsidRPr="001D051B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010581" w:rsidRPr="001D051B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D051B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D051B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CA65A1" w:rsidRPr="001D051B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CA65A1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националних рачуна </w:t>
            </w:r>
          </w:p>
          <w:p w:rsidR="00CA65A1" w:rsidRPr="001D051B" w:rsidRDefault="00CA65A1" w:rsidP="00CA65A1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 w:rsidRPr="001D051B">
              <w:rPr>
                <w:rFonts w:ascii="Tahoma" w:hAnsi="Tahoma" w:cs="Tahoma"/>
                <w:sz w:val="16"/>
                <w:lang w:val="bs-Cyrl-BA"/>
              </w:rPr>
              <w:t>Драгана Куновац</w:t>
            </w:r>
          </w:p>
          <w:p w:rsidR="00CA65A1" w:rsidRPr="001D051B" w:rsidRDefault="00CA65A1" w:rsidP="00CA65A1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szCs w:val="16"/>
                <w:u w:val="single"/>
              </w:rPr>
              <w:t>dragana.kunovac@rzs.rs.ba</w:t>
            </w:r>
          </w:p>
          <w:p w:rsidR="00CA65A1" w:rsidRPr="001D051B" w:rsidRDefault="00CA65A1" w:rsidP="00CA65A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65A1" w:rsidRPr="001D051B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CA65A1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националних рачуна </w:t>
            </w:r>
          </w:p>
          <w:p w:rsidR="00CA65A1" w:rsidRPr="001008B3" w:rsidRDefault="00CA65A1" w:rsidP="00CA65A1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lang w:val="bs-Cyrl-BA"/>
              </w:rPr>
              <w:t xml:space="preserve">Дијана </w:t>
            </w:r>
            <w:proofErr w:type="spellStart"/>
            <w:r w:rsidR="001008B3">
              <w:rPr>
                <w:rFonts w:ascii="Tahoma" w:hAnsi="Tahoma" w:cs="Tahoma"/>
                <w:sz w:val="16"/>
              </w:rPr>
              <w:t>Малеш</w:t>
            </w:r>
            <w:proofErr w:type="spellEnd"/>
          </w:p>
          <w:p w:rsidR="00CA65A1" w:rsidRPr="001D051B" w:rsidRDefault="00CA65A1" w:rsidP="00CA65A1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szCs w:val="16"/>
                <w:u w:val="single"/>
              </w:rPr>
              <w:t>dijana.</w:t>
            </w:r>
            <w:r w:rsidR="001008B3">
              <w:rPr>
                <w:rFonts w:ascii="Tahoma" w:hAnsi="Tahoma" w:cs="Tahoma"/>
                <w:sz w:val="16"/>
                <w:szCs w:val="16"/>
                <w:u w:val="single"/>
              </w:rPr>
              <w:t>males</w:t>
            </w:r>
            <w:r w:rsidRPr="001D051B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CA65A1" w:rsidRPr="001D051B" w:rsidRDefault="00CA65A1" w:rsidP="00CA65A1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  <w:tr w:rsidR="00CA65A1" w:rsidRPr="001D051B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 w:rsidRPr="001D051B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szCs w:val="16"/>
                <w:u w:val="single"/>
              </w:rPr>
              <w:t>biljana.gl</w:t>
            </w:r>
            <w:r w:rsidRPr="001D051B">
              <w:rPr>
                <w:rFonts w:ascii="Tahoma" w:hAnsi="Tahoma" w:cs="Tahoma"/>
                <w:sz w:val="16"/>
                <w:szCs w:val="16"/>
                <w:u w:val="single"/>
                <w:lang w:val="sr-Latn-CS"/>
              </w:rPr>
              <w:t>usa</w:t>
            </w:r>
            <w:r w:rsidRPr="001D051B">
              <w:rPr>
                <w:rFonts w:ascii="Tahoma" w:hAnsi="Tahoma" w:cs="Tahoma"/>
                <w:sz w:val="16"/>
                <w:szCs w:val="16"/>
                <w:u w:val="single"/>
              </w:rPr>
              <w:t>c@rzs.rs.ba</w:t>
            </w:r>
          </w:p>
          <w:p w:rsidR="00CA65A1" w:rsidRPr="001D051B" w:rsidRDefault="00CA65A1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65A1" w:rsidRPr="001D051B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1D051B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CA65A1" w:rsidRPr="001D051B" w:rsidRDefault="0098796E" w:rsidP="00DE702D">
            <w:pPr>
              <w:spacing w:after="80"/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2" w:history="1"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1D051B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CA65A1" w:rsidRPr="001D051B" w:rsidRDefault="0098796E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A65A1" w:rsidRPr="001D051B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CA65A1" w:rsidRPr="001D051B" w:rsidRDefault="0098796E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CA65A1" w:rsidRPr="001D051B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A65A1" w:rsidRPr="001D051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65A1" w:rsidRPr="001D051B" w:rsidRDefault="00CA65A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1D051B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>мр Сања Стојчевић</w:t>
            </w:r>
          </w:p>
          <w:p w:rsidR="00CA65A1" w:rsidRPr="001D051B" w:rsidRDefault="0098796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CA65A1" w:rsidRPr="001D051B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CA65A1" w:rsidRPr="001D051B" w:rsidRDefault="00CA65A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1D051B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10581" w:rsidRPr="001D051B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D051B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D051B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1D051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D051B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b/>
                <w:bCs/>
              </w:rPr>
              <w:sym w:font="Symbol" w:char="00C6"/>
            </w:r>
            <w:r w:rsidRPr="001D051B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D051B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1D051B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1D051B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1D051B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1D051B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1D051B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1D051B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5733" w:rsidRPr="001D051B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1D051B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1D051B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1D051B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1D051B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1D051B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1D051B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1D051B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1D051B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1D051B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1D051B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1D051B" w:rsidRDefault="009879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W w:w="10703" w:type="dxa"/>
        <w:jc w:val="center"/>
        <w:tblInd w:w="-355" w:type="dxa"/>
        <w:tblLook w:val="01E0" w:firstRow="1" w:lastRow="1" w:firstColumn="1" w:lastColumn="1" w:noHBand="0" w:noVBand="0"/>
      </w:tblPr>
      <w:tblGrid>
        <w:gridCol w:w="10703"/>
      </w:tblGrid>
      <w:tr w:rsidR="008C3261" w:rsidRPr="001D051B" w:rsidTr="00DE24B3">
        <w:trPr>
          <w:trHeight w:hRule="exact" w:val="11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1D051B" w:rsidRDefault="008C3261" w:rsidP="00DE24B3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D051B" w:rsidTr="00DE24B3">
        <w:trPr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1D051B" w:rsidRDefault="008C3261" w:rsidP="00DE24B3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D051B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D051B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D051B">
              <w:rPr>
                <w:rFonts w:ascii="Tahoma" w:hAnsi="Tahoma" w:cs="Tahoma"/>
                <w:sz w:val="16"/>
              </w:rPr>
              <w:t xml:space="preserve">е </w:t>
            </w:r>
            <w:r w:rsidR="00477CB9" w:rsidRPr="001D051B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1D051B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1D051B">
              <w:rPr>
                <w:rFonts w:ascii="Tahoma" w:hAnsi="Tahoma" w:cs="Tahoma"/>
                <w:sz w:val="16"/>
              </w:rPr>
              <w:t xml:space="preserve"> </w:t>
            </w:r>
            <w:r w:rsidRPr="001D051B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1D051B" w:rsidTr="00DE24B3">
        <w:trPr>
          <w:trHeight w:val="160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D051B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D051B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D051B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D051B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D051B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D051B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D051B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D051B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D051B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D051B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D051B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D051B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D051B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D051B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D051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1D051B" w:rsidRDefault="008C3261" w:rsidP="00DE24B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1D051B" w:rsidRDefault="008C3261" w:rsidP="00DE24B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D051B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D051B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D051B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1D051B" w:rsidRDefault="0098796E" w:rsidP="00094E6E">
      <w:p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57" style="position:absolute;left:0;text-align:left;z-index:251655168;mso-position-horizontal-relative:text;mso-position-vertical-relative:text" from="-2.5pt,108.2pt" to="510.5pt,108.2pt" strokecolor="#376ea5" strokeweight="1.5pt"/>
        </w:pict>
      </w:r>
    </w:p>
    <w:p w:rsidR="00657939" w:rsidRPr="001D051B" w:rsidRDefault="00657939" w:rsidP="00094E6E">
      <w:pPr>
        <w:jc w:val="both"/>
        <w:rPr>
          <w:rFonts w:ascii="Tahoma" w:hAnsi="Tahoma" w:cs="Tahoma"/>
          <w:lang w:val="sr-Cyrl-BA"/>
        </w:rPr>
      </w:pPr>
    </w:p>
    <w:sectPr w:rsidR="00657939" w:rsidRPr="001D051B" w:rsidSect="005D5311">
      <w:headerReference w:type="default" r:id="rId17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6E" w:rsidRDefault="0098796E">
      <w:r>
        <w:separator/>
      </w:r>
    </w:p>
  </w:endnote>
  <w:endnote w:type="continuationSeparator" w:id="0">
    <w:p w:rsidR="0098796E" w:rsidRDefault="009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6E" w:rsidRDefault="0098796E">
      <w:r>
        <w:separator/>
      </w:r>
    </w:p>
  </w:footnote>
  <w:footnote w:type="continuationSeparator" w:id="0">
    <w:p w:rsidR="0098796E" w:rsidRDefault="0098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98796E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8796E" w:rsidRDefault="0098796E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98796E" w:rsidRPr="00460A5B" w:rsidRDefault="0098796E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98796E" w:rsidRPr="005D5311" w:rsidRDefault="0098796E" w:rsidP="00CA65A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октобар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8796E" w:rsidRDefault="0098796E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7D7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575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D45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0F7E7B"/>
    <w:rsid w:val="00100507"/>
    <w:rsid w:val="001008B3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A9B"/>
    <w:rsid w:val="00164E59"/>
    <w:rsid w:val="001655F9"/>
    <w:rsid w:val="001658E6"/>
    <w:rsid w:val="001658F6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D5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C7ACB"/>
    <w:rsid w:val="001D051B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A16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0FB1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880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888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66DD"/>
    <w:rsid w:val="003B6801"/>
    <w:rsid w:val="003B695B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E6"/>
    <w:rsid w:val="003C73E2"/>
    <w:rsid w:val="003C7538"/>
    <w:rsid w:val="003C7609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EBC"/>
    <w:rsid w:val="003D4FE0"/>
    <w:rsid w:val="003D5248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1DA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7B0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578"/>
    <w:rsid w:val="00460A5B"/>
    <w:rsid w:val="00460B18"/>
    <w:rsid w:val="00461655"/>
    <w:rsid w:val="004618F7"/>
    <w:rsid w:val="00461A1C"/>
    <w:rsid w:val="004629F9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9F4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2A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AC0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018"/>
    <w:rsid w:val="005073CC"/>
    <w:rsid w:val="005076E5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5BA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3B7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47F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27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095"/>
    <w:rsid w:val="006C2231"/>
    <w:rsid w:val="006C33B8"/>
    <w:rsid w:val="006C343F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355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8746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96E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B00CA"/>
    <w:rsid w:val="009B04C5"/>
    <w:rsid w:val="009B06B8"/>
    <w:rsid w:val="009B0B84"/>
    <w:rsid w:val="009B0BA8"/>
    <w:rsid w:val="009B13F8"/>
    <w:rsid w:val="009B17E7"/>
    <w:rsid w:val="009B20DA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9F7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A63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A0C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291B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7E3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0D3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C35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5A1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0D5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6CA"/>
    <w:rsid w:val="00D76A3A"/>
    <w:rsid w:val="00D77276"/>
    <w:rsid w:val="00D77439"/>
    <w:rsid w:val="00D77913"/>
    <w:rsid w:val="00D77AAF"/>
    <w:rsid w:val="00D8008E"/>
    <w:rsid w:val="00D8084C"/>
    <w:rsid w:val="00D809FE"/>
    <w:rsid w:val="00D80D6A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4B3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56F7"/>
    <w:rsid w:val="00DE6E46"/>
    <w:rsid w:val="00DE702D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4B8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2E59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130C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sminka.mil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sep%202012\za%20Graf%20I-IX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935235376029224"/>
          <c:y val="8.6415377300873647E-2"/>
          <c:w val="0.59477280785385434"/>
          <c:h val="0.63432731772215367"/>
        </c:manualLayout>
      </c:layout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spPr>
            <a:ln>
              <a:solidFill>
                <a:srgbClr val="003366"/>
              </a:solidFill>
            </a:ln>
          </c:spPr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lll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807</c:v>
                </c:pt>
                <c:pt idx="1">
                  <c:v>802</c:v>
                </c:pt>
                <c:pt idx="2">
                  <c:v>813</c:v>
                </c:pt>
                <c:pt idx="3">
                  <c:v>815</c:v>
                </c:pt>
                <c:pt idx="4">
                  <c:v>819</c:v>
                </c:pt>
                <c:pt idx="5">
                  <c:v>821</c:v>
                </c:pt>
                <c:pt idx="6">
                  <c:v>814</c:v>
                </c:pt>
                <c:pt idx="7">
                  <c:v>817</c:v>
                </c:pt>
                <c:pt idx="8">
                  <c:v>826</c:v>
                </c:pt>
                <c:pt idx="9">
                  <c:v>818</c:v>
                </c:pt>
                <c:pt idx="10">
                  <c:v>823</c:v>
                </c:pt>
                <c:pt idx="11">
                  <c:v>818</c:v>
                </c:pt>
                <c:pt idx="12">
                  <c:v>804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170944"/>
        <c:axId val="124128640"/>
      </c:lineChart>
      <c:catAx>
        <c:axId val="1131709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6350">
            <a:solidFill>
              <a:sysClr val="windowText" lastClr="000000"/>
            </a:solidFill>
          </a:ln>
        </c:spPr>
        <c:crossAx val="124128640"/>
        <c:crosses val="autoZero"/>
        <c:auto val="0"/>
        <c:lblAlgn val="ctr"/>
        <c:lblOffset val="100"/>
        <c:noMultiLvlLbl val="0"/>
      </c:catAx>
      <c:valAx>
        <c:axId val="124128640"/>
        <c:scaling>
          <c:orientation val="minMax"/>
          <c:max val="840"/>
          <c:min val="600"/>
        </c:scaling>
        <c:delete val="0"/>
        <c:axPos val="l"/>
        <c:majorGridlines>
          <c:spPr>
            <a:ln w="3175">
              <a:solidFill>
                <a:sysClr val="window" lastClr="FFFFFF">
                  <a:lumMod val="75000"/>
                </a:sys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113170944"/>
        <c:crosses val="autoZero"/>
        <c:crossBetween val="between"/>
        <c:majorUnit val="40"/>
      </c:valAx>
      <c:spPr>
        <a:ln w="6350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87079022091138"/>
          <c:y val="0.28605801677612641"/>
          <c:w val="0.21079898291276081"/>
          <c:h val="0.1737743362930229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6.9919072615923034E-2"/>
          <c:w val="0.73856345292334968"/>
          <c:h val="0.82232392571385748"/>
        </c:manualLayout>
      </c:layout>
      <c:lineChart>
        <c:grouping val="standard"/>
        <c:varyColors val="0"/>
        <c:ser>
          <c:idx val="0"/>
          <c:order val="0"/>
          <c:tx>
            <c:strRef>
              <c:f>zaSeptembar2012!$A$2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spPr>
            <a:ln>
              <a:solidFill>
                <a:srgbClr val="003366"/>
              </a:solidFill>
            </a:ln>
          </c:spPr>
          <c:marker>
            <c:symbol val="none"/>
          </c:marker>
          <c:cat>
            <c:strRef>
              <c:f>zaSeptembar2012!$B$1:$N$1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zaSeptembar2012!$B$2:$N$2</c:f>
              <c:numCache>
                <c:formatCode>General</c:formatCode>
                <c:ptCount val="13"/>
                <c:pt idx="0">
                  <c:v>423131</c:v>
                </c:pt>
                <c:pt idx="1">
                  <c:v>395756</c:v>
                </c:pt>
                <c:pt idx="2">
                  <c:v>393355</c:v>
                </c:pt>
                <c:pt idx="3">
                  <c:v>456660</c:v>
                </c:pt>
                <c:pt idx="4">
                  <c:v>290628</c:v>
                </c:pt>
                <c:pt idx="5">
                  <c:v>242652</c:v>
                </c:pt>
                <c:pt idx="6">
                  <c:v>474051</c:v>
                </c:pt>
                <c:pt idx="7">
                  <c:v>372455</c:v>
                </c:pt>
                <c:pt idx="8">
                  <c:v>382975</c:v>
                </c:pt>
                <c:pt idx="9">
                  <c:v>381177</c:v>
                </c:pt>
                <c:pt idx="10">
                  <c:v>427964</c:v>
                </c:pt>
                <c:pt idx="11">
                  <c:v>408778</c:v>
                </c:pt>
                <c:pt idx="12">
                  <c:v>419049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zaSeptembar2012!$A$3</c:f>
              <c:strCache>
                <c:ptCount val="1"/>
                <c:pt idx="0">
                  <c:v>извоз            </c:v>
                </c:pt>
              </c:strCache>
            </c:strRef>
          </c:tx>
          <c:spPr>
            <a:ln>
              <a:solidFill>
                <a:srgbClr val="99CC00"/>
              </a:solidFill>
            </a:ln>
          </c:spPr>
          <c:marker>
            <c:symbol val="none"/>
          </c:marker>
          <c:cat>
            <c:strRef>
              <c:f>zaSeptembar2012!$B$1:$N$1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zaSeptembar2012!$B$3:$N$3</c:f>
              <c:numCache>
                <c:formatCode>General</c:formatCode>
                <c:ptCount val="13"/>
                <c:pt idx="0">
                  <c:v>248916</c:v>
                </c:pt>
                <c:pt idx="1">
                  <c:v>220845</c:v>
                </c:pt>
                <c:pt idx="2">
                  <c:v>225498</c:v>
                </c:pt>
                <c:pt idx="3">
                  <c:v>203576</c:v>
                </c:pt>
                <c:pt idx="4">
                  <c:v>158330</c:v>
                </c:pt>
                <c:pt idx="5">
                  <c:v>161327</c:v>
                </c:pt>
                <c:pt idx="6">
                  <c:v>214070</c:v>
                </c:pt>
                <c:pt idx="7">
                  <c:v>204803</c:v>
                </c:pt>
                <c:pt idx="8">
                  <c:v>227243</c:v>
                </c:pt>
                <c:pt idx="9">
                  <c:v>214185</c:v>
                </c:pt>
                <c:pt idx="10">
                  <c:v>218575</c:v>
                </c:pt>
                <c:pt idx="11">
                  <c:v>184540</c:v>
                </c:pt>
                <c:pt idx="12">
                  <c:v>237481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01088"/>
        <c:axId val="124130368"/>
      </c:lineChart>
      <c:catAx>
        <c:axId val="1270010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6350">
            <a:solidFill>
              <a:sysClr val="windowText" lastClr="000000"/>
            </a:solidFill>
          </a:ln>
        </c:spPr>
        <c:crossAx val="124130368"/>
        <c:crosses val="autoZero"/>
        <c:auto val="1"/>
        <c:lblAlgn val="ctr"/>
        <c:lblOffset val="100"/>
        <c:noMultiLvlLbl val="0"/>
      </c:catAx>
      <c:valAx>
        <c:axId val="12413036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,##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127001088"/>
        <c:crosses val="autoZero"/>
        <c:crossBetween val="between"/>
      </c:valAx>
      <c:spPr>
        <a:ln w="3175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5728765937151263"/>
          <c:y val="0.41628280839895426"/>
          <c:w val="0.13669099874979726"/>
          <c:h val="0.167434383202101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0.23062</cdr:x>
      <cdr:y>0.80548</cdr:y>
    </cdr:from>
    <cdr:to>
      <cdr:x>0.79851</cdr:x>
      <cdr:y>0.87945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80226" y="2536167"/>
          <a:ext cx="3398807" cy="2329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Tahoma" pitchFamily="34" charset="0"/>
              <a:ea typeface="Tahoma" pitchFamily="34" charset="0"/>
              <a:cs typeface="Tahoma" pitchFamily="34" charset="0"/>
            </a:rPr>
            <a:t>2011                                                2012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7EA2-A134-46FC-8749-DDE1D39A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1796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13103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11</cp:revision>
  <cp:lastPrinted>2012-10-19T07:48:00Z</cp:lastPrinted>
  <dcterms:created xsi:type="dcterms:W3CDTF">2012-10-19T10:01:00Z</dcterms:created>
  <dcterms:modified xsi:type="dcterms:W3CDTF">2012-10-22T08:37:00Z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